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81F" w:rsidRPr="0032181F" w:rsidRDefault="0032181F" w:rsidP="009E6C5B">
      <w:pPr>
        <w:pStyle w:val="NormalWeb"/>
        <w:numPr>
          <w:ilvl w:val="0"/>
          <w:numId w:val="9"/>
        </w:numPr>
        <w:shd w:val="clear" w:color="auto" w:fill="FFFFFF"/>
        <w:spacing w:before="0" w:beforeAutospacing="0" w:after="0" w:afterAutospacing="0"/>
        <w:rPr>
          <w:rFonts w:asciiTheme="minorHAnsi" w:hAnsiTheme="minorHAnsi" w:cstheme="minorHAnsi"/>
          <w:color w:val="000000"/>
          <w:sz w:val="22"/>
          <w:szCs w:val="22"/>
          <w:lang w:val="en-US"/>
        </w:rPr>
      </w:pPr>
      <w:r w:rsidRPr="0032181F">
        <w:rPr>
          <w:rFonts w:asciiTheme="minorHAnsi" w:hAnsiTheme="minorHAnsi" w:cstheme="minorHAnsi"/>
          <w:b/>
          <w:color w:val="1F4E79" w:themeColor="accent1" w:themeShade="80"/>
          <w:sz w:val="22"/>
          <w:szCs w:val="22"/>
          <w:lang w:val="en-US"/>
        </w:rPr>
        <w:t>BRAZIL – ANTI-CRISIS MEASURES TARGETING VULNERABLE GROUPS INCLUDING INFORMAL WORKERS</w:t>
      </w:r>
    </w:p>
    <w:p w:rsidR="0032181F" w:rsidRPr="0032181F" w:rsidRDefault="0032181F" w:rsidP="0032181F">
      <w:pPr>
        <w:pStyle w:val="NormalWeb"/>
        <w:shd w:val="clear" w:color="auto" w:fill="FFFFFF"/>
        <w:spacing w:before="0" w:beforeAutospacing="0" w:after="0" w:afterAutospacing="0"/>
        <w:rPr>
          <w:rFonts w:ascii="Calibri" w:hAnsi="Calibri" w:cs="Calibri"/>
          <w:color w:val="000000"/>
          <w:sz w:val="22"/>
          <w:szCs w:val="22"/>
          <w:lang w:val="en-US"/>
        </w:rPr>
      </w:pPr>
    </w:p>
    <w:p w:rsidR="0032181F" w:rsidRPr="0032181F" w:rsidRDefault="0032181F" w:rsidP="0032181F">
      <w:pPr>
        <w:pStyle w:val="NormalWeb"/>
        <w:numPr>
          <w:ilvl w:val="0"/>
          <w:numId w:val="3"/>
        </w:numPr>
        <w:shd w:val="clear" w:color="auto" w:fill="FFFFFF"/>
        <w:spacing w:before="0" w:beforeAutospacing="0" w:after="0" w:afterAutospacing="0"/>
        <w:rPr>
          <w:color w:val="212121"/>
          <w:sz w:val="22"/>
          <w:szCs w:val="22"/>
          <w:lang w:val="en-US"/>
        </w:rPr>
      </w:pPr>
      <w:r w:rsidRPr="0032181F">
        <w:rPr>
          <w:rFonts w:ascii="Calibri" w:hAnsi="Calibri" w:cs="Calibri"/>
          <w:color w:val="000000"/>
          <w:sz w:val="22"/>
          <w:szCs w:val="22"/>
          <w:lang w:val="en-US"/>
        </w:rPr>
        <w:t>The new bill has been approved 1 April 2020 in both chambers of the National Congress (Senate and Chamber of Deputies). The President is expected to approve it very soon.</w:t>
      </w:r>
    </w:p>
    <w:p w:rsidR="0032181F" w:rsidRPr="0032181F" w:rsidRDefault="0032181F" w:rsidP="0032181F">
      <w:pPr>
        <w:pStyle w:val="NormalWeb"/>
        <w:shd w:val="clear" w:color="auto" w:fill="FFFFFF"/>
        <w:spacing w:before="0" w:beforeAutospacing="0" w:after="0" w:afterAutospacing="0"/>
        <w:ind w:left="720"/>
        <w:rPr>
          <w:rFonts w:ascii="Calibri" w:hAnsi="Calibri" w:cs="Calibri"/>
          <w:color w:val="000000"/>
          <w:sz w:val="22"/>
          <w:szCs w:val="22"/>
          <w:lang w:val="en-US"/>
        </w:rPr>
      </w:pPr>
      <w:r w:rsidRPr="0032181F">
        <w:rPr>
          <w:rFonts w:ascii="Calibri" w:hAnsi="Calibri" w:cs="Calibri"/>
          <w:color w:val="000000"/>
          <w:sz w:val="22"/>
          <w:szCs w:val="22"/>
          <w:lang w:val="en-US"/>
        </w:rPr>
        <w:t>The bill aims to help the most vulnerable groups in society as a result of the lockdown measures introduced by the State Governments by providing a cash transfer which is being referred to as “Vale solidariedade” (Solidarity voucher). The amount if R$ 600 (six hundred reais), approximately 120 Euros per month for a period of 3 months (total of 360 Euros). This voucher might be extended for an add</w:t>
      </w:r>
      <w:r>
        <w:rPr>
          <w:rFonts w:ascii="Calibri" w:hAnsi="Calibri" w:cs="Calibri"/>
          <w:color w:val="000000"/>
          <w:sz w:val="22"/>
          <w:szCs w:val="22"/>
          <w:lang w:val="en-US"/>
        </w:rPr>
        <w:t xml:space="preserve">itional 3 months to be decided </w:t>
      </w:r>
      <w:r w:rsidRPr="0032181F">
        <w:rPr>
          <w:rFonts w:ascii="Calibri" w:hAnsi="Calibri" w:cs="Calibri"/>
          <w:color w:val="000000"/>
          <w:sz w:val="22"/>
          <w:szCs w:val="22"/>
          <w:lang w:val="en-US"/>
        </w:rPr>
        <w:t>by the Government at a later stage.</w:t>
      </w:r>
    </w:p>
    <w:p w:rsidR="0032181F" w:rsidRPr="0032181F" w:rsidRDefault="0032181F" w:rsidP="0032181F">
      <w:pPr>
        <w:pStyle w:val="NormalWeb"/>
        <w:shd w:val="clear" w:color="auto" w:fill="FFFFFF"/>
        <w:spacing w:before="0" w:beforeAutospacing="0" w:after="0" w:afterAutospacing="0"/>
        <w:rPr>
          <w:color w:val="212121"/>
          <w:sz w:val="22"/>
          <w:szCs w:val="22"/>
          <w:lang w:val="en-US"/>
        </w:rPr>
      </w:pPr>
    </w:p>
    <w:p w:rsidR="0032181F" w:rsidRPr="0032181F" w:rsidRDefault="0032181F" w:rsidP="0032181F">
      <w:pPr>
        <w:pStyle w:val="NormalWeb"/>
        <w:numPr>
          <w:ilvl w:val="0"/>
          <w:numId w:val="3"/>
        </w:numPr>
        <w:shd w:val="clear" w:color="auto" w:fill="FFFFFF"/>
        <w:spacing w:before="0" w:beforeAutospacing="0" w:after="0" w:afterAutospacing="0"/>
        <w:rPr>
          <w:color w:val="212121"/>
          <w:sz w:val="22"/>
          <w:szCs w:val="22"/>
          <w:lang w:val="en-US"/>
        </w:rPr>
      </w:pPr>
      <w:r w:rsidRPr="0032181F">
        <w:rPr>
          <w:rFonts w:ascii="Calibri" w:hAnsi="Calibri" w:cs="Calibri"/>
          <w:color w:val="000000"/>
          <w:sz w:val="22"/>
          <w:szCs w:val="22"/>
          <w:lang w:val="en-US"/>
        </w:rPr>
        <w:t>The Government’s forecast is that this voucher will reach over 24 million persons with a total cost of 14.4 billion reais (approximately 2.8 billion Euros).</w:t>
      </w:r>
    </w:p>
    <w:p w:rsidR="0032181F" w:rsidRPr="0032181F" w:rsidRDefault="0032181F" w:rsidP="0032181F">
      <w:pPr>
        <w:pStyle w:val="NormalWeb"/>
        <w:shd w:val="clear" w:color="auto" w:fill="FFFFFF"/>
        <w:spacing w:before="0" w:beforeAutospacing="0" w:after="0" w:afterAutospacing="0"/>
        <w:ind w:left="720"/>
        <w:rPr>
          <w:rFonts w:ascii="Calibri" w:hAnsi="Calibri" w:cs="Calibri"/>
          <w:color w:val="000000"/>
          <w:sz w:val="22"/>
          <w:szCs w:val="22"/>
          <w:lang w:val="en-US"/>
        </w:rPr>
      </w:pPr>
      <w:r w:rsidRPr="0032181F">
        <w:rPr>
          <w:rFonts w:ascii="Calibri" w:hAnsi="Calibri" w:cs="Calibri"/>
          <w:color w:val="000000"/>
          <w:sz w:val="22"/>
          <w:szCs w:val="22"/>
          <w:lang w:val="en-US"/>
        </w:rPr>
        <w:t>Target groups: Unemployed, informal workers, self-employed and microenterpreneurs who have low income.</w:t>
      </w:r>
    </w:p>
    <w:p w:rsidR="0032181F" w:rsidRPr="0032181F" w:rsidRDefault="0032181F" w:rsidP="0032181F">
      <w:pPr>
        <w:pStyle w:val="NormalWeb"/>
        <w:shd w:val="clear" w:color="auto" w:fill="FFFFFF"/>
        <w:spacing w:before="0" w:beforeAutospacing="0" w:after="0" w:afterAutospacing="0"/>
        <w:rPr>
          <w:color w:val="212121"/>
          <w:sz w:val="22"/>
          <w:szCs w:val="22"/>
          <w:lang w:val="en-US"/>
        </w:rPr>
      </w:pPr>
    </w:p>
    <w:p w:rsidR="0032181F" w:rsidRPr="0032181F" w:rsidRDefault="0032181F" w:rsidP="0032181F">
      <w:pPr>
        <w:pStyle w:val="NormalWeb"/>
        <w:numPr>
          <w:ilvl w:val="0"/>
          <w:numId w:val="3"/>
        </w:numPr>
        <w:shd w:val="clear" w:color="auto" w:fill="FFFFFF"/>
        <w:spacing w:before="0" w:beforeAutospacing="0" w:after="0" w:afterAutospacing="0"/>
        <w:rPr>
          <w:color w:val="212121"/>
          <w:sz w:val="22"/>
          <w:szCs w:val="22"/>
          <w:lang w:val="en-US"/>
        </w:rPr>
      </w:pPr>
      <w:r w:rsidRPr="0032181F">
        <w:rPr>
          <w:rFonts w:ascii="Calibri" w:hAnsi="Calibri" w:cs="Calibri"/>
          <w:color w:val="000000"/>
          <w:sz w:val="22"/>
          <w:szCs w:val="22"/>
          <w:lang w:val="en-US"/>
        </w:rPr>
        <w:t>Thresholds to be beneficiaries of the voucher: families with monthly income lower than 3 minimum wages (R$ 3,135, approximately 627 Euros).</w:t>
      </w:r>
    </w:p>
    <w:p w:rsidR="0032181F" w:rsidRPr="0032181F" w:rsidRDefault="0032181F" w:rsidP="0032181F">
      <w:pPr>
        <w:pStyle w:val="NormalWeb"/>
        <w:shd w:val="clear" w:color="auto" w:fill="FFFFFF"/>
        <w:spacing w:before="0" w:beforeAutospacing="0" w:after="0" w:afterAutospacing="0"/>
        <w:ind w:left="720"/>
        <w:rPr>
          <w:rFonts w:ascii="Calibri" w:hAnsi="Calibri" w:cs="Calibri"/>
          <w:color w:val="000000"/>
          <w:sz w:val="22"/>
          <w:szCs w:val="22"/>
          <w:lang w:val="en-US"/>
        </w:rPr>
      </w:pPr>
      <w:r w:rsidRPr="0032181F">
        <w:rPr>
          <w:rFonts w:ascii="Calibri" w:hAnsi="Calibri" w:cs="Calibri"/>
          <w:color w:val="000000"/>
          <w:sz w:val="22"/>
          <w:szCs w:val="22"/>
          <w:lang w:val="en-US"/>
        </w:rPr>
        <w:t>Families with per capita income (per family member) lower than half of minimum wage (R$ 522.50, approximately 104 Euros). Please note that the minimum wage is approximately 208 Euros.</w:t>
      </w:r>
    </w:p>
    <w:p w:rsidR="0032181F" w:rsidRPr="0032181F" w:rsidRDefault="0032181F" w:rsidP="0032181F">
      <w:pPr>
        <w:pStyle w:val="NormalWeb"/>
        <w:shd w:val="clear" w:color="auto" w:fill="FFFFFF"/>
        <w:spacing w:before="0" w:beforeAutospacing="0" w:after="0" w:afterAutospacing="0"/>
        <w:rPr>
          <w:color w:val="212121"/>
          <w:sz w:val="22"/>
          <w:szCs w:val="22"/>
          <w:lang w:val="en-US"/>
        </w:rPr>
      </w:pPr>
    </w:p>
    <w:p w:rsidR="0032181F" w:rsidRPr="0032181F" w:rsidRDefault="0032181F" w:rsidP="0032181F">
      <w:pPr>
        <w:pStyle w:val="NormalWeb"/>
        <w:numPr>
          <w:ilvl w:val="0"/>
          <w:numId w:val="3"/>
        </w:numPr>
        <w:shd w:val="clear" w:color="auto" w:fill="FFFFFF"/>
        <w:spacing w:before="0" w:beforeAutospacing="0" w:after="0" w:afterAutospacing="0"/>
        <w:rPr>
          <w:color w:val="212121"/>
          <w:sz w:val="22"/>
          <w:szCs w:val="22"/>
          <w:lang w:val="en-US"/>
        </w:rPr>
      </w:pPr>
      <w:r w:rsidRPr="0032181F">
        <w:rPr>
          <w:rFonts w:ascii="Calibri" w:hAnsi="Calibri" w:cs="Calibri"/>
          <w:color w:val="000000"/>
          <w:sz w:val="22"/>
          <w:szCs w:val="22"/>
          <w:lang w:val="en-US"/>
        </w:rPr>
        <w:t>Distribution of this voucher will be given in the following order:</w:t>
      </w:r>
    </w:p>
    <w:p w:rsidR="0032181F" w:rsidRPr="0032181F" w:rsidRDefault="0032181F" w:rsidP="0032181F">
      <w:pPr>
        <w:pStyle w:val="NormalWeb"/>
        <w:shd w:val="clear" w:color="auto" w:fill="FFFFFF"/>
        <w:spacing w:before="0" w:beforeAutospacing="0" w:after="0" w:afterAutospacing="0"/>
        <w:jc w:val="both"/>
        <w:rPr>
          <w:color w:val="212121"/>
          <w:sz w:val="22"/>
          <w:szCs w:val="22"/>
          <w:lang w:val="en-US"/>
        </w:rPr>
      </w:pPr>
      <w:r w:rsidRPr="0032181F">
        <w:rPr>
          <w:rFonts w:ascii="Calibri" w:hAnsi="Calibri" w:cs="Calibri"/>
          <w:color w:val="000000"/>
          <w:sz w:val="22"/>
          <w:szCs w:val="22"/>
          <w:lang w:val="en-US"/>
        </w:rPr>
        <w:t>1.      Those in the database of Bolsa família (including unemployed)</w:t>
      </w:r>
    </w:p>
    <w:p w:rsidR="0032181F" w:rsidRPr="0032181F" w:rsidRDefault="0032181F" w:rsidP="0032181F">
      <w:pPr>
        <w:pStyle w:val="NormalWeb"/>
        <w:shd w:val="clear" w:color="auto" w:fill="FFFFFF"/>
        <w:spacing w:before="0" w:beforeAutospacing="0" w:after="0" w:afterAutospacing="0"/>
        <w:jc w:val="both"/>
        <w:rPr>
          <w:color w:val="212121"/>
          <w:sz w:val="22"/>
          <w:szCs w:val="22"/>
          <w:lang w:val="en-US"/>
        </w:rPr>
      </w:pPr>
      <w:r w:rsidRPr="0032181F">
        <w:rPr>
          <w:rFonts w:ascii="Calibri" w:hAnsi="Calibri" w:cs="Calibri"/>
          <w:color w:val="000000"/>
          <w:sz w:val="22"/>
          <w:szCs w:val="22"/>
          <w:lang w:val="en-US"/>
        </w:rPr>
        <w:t>2.      Informal workers in the database of National Institute of Social Security (INSS)</w:t>
      </w:r>
    </w:p>
    <w:p w:rsidR="0032181F" w:rsidRPr="0032181F" w:rsidRDefault="0032181F" w:rsidP="0032181F">
      <w:pPr>
        <w:pStyle w:val="NormalWeb"/>
        <w:shd w:val="clear" w:color="auto" w:fill="FFFFFF"/>
        <w:spacing w:before="0" w:beforeAutospacing="0" w:after="0" w:afterAutospacing="0"/>
        <w:jc w:val="both"/>
        <w:rPr>
          <w:color w:val="212121"/>
          <w:sz w:val="22"/>
          <w:szCs w:val="22"/>
          <w:lang w:val="en-US"/>
        </w:rPr>
      </w:pPr>
      <w:r w:rsidRPr="0032181F">
        <w:rPr>
          <w:rFonts w:ascii="Calibri" w:hAnsi="Calibri" w:cs="Calibri"/>
          <w:color w:val="000000"/>
          <w:sz w:val="22"/>
          <w:szCs w:val="22"/>
          <w:lang w:val="en-US"/>
        </w:rPr>
        <w:t>3.      Microentrepreurs who contribute to the National Institute of Social Security (INSS)</w:t>
      </w:r>
    </w:p>
    <w:p w:rsidR="0032181F" w:rsidRPr="0032181F" w:rsidRDefault="0032181F" w:rsidP="0032181F">
      <w:pPr>
        <w:pStyle w:val="NormalWeb"/>
        <w:shd w:val="clear" w:color="auto" w:fill="FFFFFF"/>
        <w:spacing w:before="0" w:beforeAutospacing="0" w:after="0" w:afterAutospacing="0"/>
        <w:jc w:val="both"/>
        <w:rPr>
          <w:color w:val="212121"/>
          <w:sz w:val="22"/>
          <w:szCs w:val="22"/>
          <w:lang w:val="en-US"/>
        </w:rPr>
      </w:pPr>
      <w:r w:rsidRPr="0032181F">
        <w:rPr>
          <w:rFonts w:ascii="Calibri" w:hAnsi="Calibri" w:cs="Calibri"/>
          <w:color w:val="000000"/>
          <w:sz w:val="22"/>
          <w:szCs w:val="22"/>
          <w:lang w:val="en-US"/>
        </w:rPr>
        <w:t>4.      Informal workers who are not in any existing database</w:t>
      </w:r>
    </w:p>
    <w:p w:rsidR="0032181F" w:rsidRPr="0032181F" w:rsidRDefault="0032181F" w:rsidP="0032181F">
      <w:pPr>
        <w:pStyle w:val="NormalWeb"/>
        <w:shd w:val="clear" w:color="auto" w:fill="FFFFFF"/>
        <w:spacing w:before="0" w:beforeAutospacing="0" w:after="0" w:afterAutospacing="0"/>
        <w:jc w:val="both"/>
        <w:rPr>
          <w:color w:val="212121"/>
          <w:sz w:val="22"/>
          <w:szCs w:val="22"/>
          <w:lang w:val="en-US"/>
        </w:rPr>
      </w:pPr>
      <w:r w:rsidRPr="0032181F">
        <w:rPr>
          <w:rFonts w:ascii="Calibri" w:hAnsi="Calibri" w:cs="Calibri"/>
          <w:color w:val="000000"/>
          <w:sz w:val="22"/>
          <w:szCs w:val="22"/>
          <w:lang w:val="en-US"/>
        </w:rPr>
        <w:t> </w:t>
      </w:r>
    </w:p>
    <w:p w:rsidR="0032181F" w:rsidRPr="0032181F" w:rsidRDefault="0032181F" w:rsidP="0032181F">
      <w:pPr>
        <w:pStyle w:val="NormalWeb"/>
        <w:numPr>
          <w:ilvl w:val="0"/>
          <w:numId w:val="4"/>
        </w:numPr>
        <w:shd w:val="clear" w:color="auto" w:fill="FFFFFF"/>
        <w:spacing w:before="0" w:beforeAutospacing="0" w:after="0" w:afterAutospacing="0"/>
        <w:jc w:val="both"/>
        <w:rPr>
          <w:color w:val="212121"/>
          <w:sz w:val="22"/>
          <w:szCs w:val="22"/>
          <w:lang w:val="en-US"/>
        </w:rPr>
      </w:pPr>
      <w:r w:rsidRPr="0032181F">
        <w:rPr>
          <w:rFonts w:ascii="Calibri" w:hAnsi="Calibri" w:cs="Calibri"/>
          <w:color w:val="000000"/>
          <w:sz w:val="22"/>
          <w:szCs w:val="22"/>
          <w:lang w:val="en-US"/>
        </w:rPr>
        <w:t>Payment of group 1 will be made on the second half of April (probably on 16 April), then payment to the others will follow suit.</w:t>
      </w:r>
    </w:p>
    <w:p w:rsidR="0032181F" w:rsidRPr="0032181F" w:rsidRDefault="0032181F" w:rsidP="0032181F">
      <w:pPr>
        <w:pStyle w:val="NormalWeb"/>
        <w:shd w:val="clear" w:color="auto" w:fill="FFFFFF"/>
        <w:spacing w:before="0" w:beforeAutospacing="0" w:after="0" w:afterAutospacing="0"/>
        <w:ind w:firstLine="50"/>
        <w:jc w:val="both"/>
        <w:rPr>
          <w:color w:val="212121"/>
          <w:sz w:val="22"/>
          <w:szCs w:val="22"/>
          <w:lang w:val="en-US"/>
        </w:rPr>
      </w:pPr>
    </w:p>
    <w:p w:rsidR="0032181F" w:rsidRPr="0032181F" w:rsidRDefault="0032181F" w:rsidP="0032181F">
      <w:pPr>
        <w:pStyle w:val="NormalWeb"/>
        <w:numPr>
          <w:ilvl w:val="0"/>
          <w:numId w:val="4"/>
        </w:numPr>
        <w:shd w:val="clear" w:color="auto" w:fill="FFFFFF"/>
        <w:spacing w:before="0" w:beforeAutospacing="0" w:after="0" w:afterAutospacing="0"/>
        <w:jc w:val="both"/>
        <w:rPr>
          <w:color w:val="212121"/>
          <w:sz w:val="22"/>
          <w:szCs w:val="22"/>
          <w:lang w:val="en-US"/>
        </w:rPr>
      </w:pPr>
      <w:r w:rsidRPr="0032181F">
        <w:rPr>
          <w:rFonts w:ascii="Calibri" w:hAnsi="Calibri" w:cs="Calibri"/>
          <w:color w:val="000000"/>
          <w:sz w:val="22"/>
          <w:szCs w:val="22"/>
          <w:lang w:val="en-US"/>
        </w:rPr>
        <w:t>Public servants are not entitled to receive this voucher.</w:t>
      </w:r>
    </w:p>
    <w:p w:rsidR="0032181F" w:rsidRPr="0032181F" w:rsidRDefault="0032181F" w:rsidP="0032181F">
      <w:pPr>
        <w:pStyle w:val="NormalWeb"/>
        <w:shd w:val="clear" w:color="auto" w:fill="FFFFFF"/>
        <w:spacing w:before="0" w:beforeAutospacing="0" w:after="0" w:afterAutospacing="0"/>
        <w:jc w:val="both"/>
        <w:rPr>
          <w:color w:val="212121"/>
          <w:sz w:val="22"/>
          <w:szCs w:val="22"/>
          <w:lang w:val="en-US"/>
        </w:rPr>
      </w:pPr>
      <w:r w:rsidRPr="0032181F">
        <w:rPr>
          <w:rFonts w:ascii="Calibri" w:hAnsi="Calibri" w:cs="Calibri"/>
          <w:color w:val="000000"/>
          <w:sz w:val="22"/>
          <w:szCs w:val="22"/>
          <w:lang w:val="en-US"/>
        </w:rPr>
        <w:t> </w:t>
      </w:r>
    </w:p>
    <w:p w:rsidR="0032181F" w:rsidRPr="0032181F" w:rsidRDefault="0032181F" w:rsidP="0032181F">
      <w:pPr>
        <w:pStyle w:val="NormalWeb"/>
        <w:numPr>
          <w:ilvl w:val="0"/>
          <w:numId w:val="4"/>
        </w:numPr>
        <w:shd w:val="clear" w:color="auto" w:fill="FFFFFF"/>
        <w:spacing w:before="0" w:beforeAutospacing="0" w:after="0" w:afterAutospacing="0"/>
        <w:jc w:val="both"/>
        <w:rPr>
          <w:color w:val="212121"/>
          <w:sz w:val="22"/>
          <w:szCs w:val="22"/>
          <w:lang w:val="en-US"/>
        </w:rPr>
      </w:pPr>
      <w:r w:rsidRPr="0032181F">
        <w:rPr>
          <w:rFonts w:ascii="Calibri" w:hAnsi="Calibri" w:cs="Calibri"/>
          <w:color w:val="000000"/>
          <w:sz w:val="22"/>
          <w:szCs w:val="22"/>
          <w:lang w:val="en-US"/>
        </w:rPr>
        <w:t>Current beneficiaries of Bolsa Familia will have to choose between Bolsa Familia (about 40 reais per month) or the new voucher.</w:t>
      </w:r>
    </w:p>
    <w:p w:rsidR="0032181F" w:rsidRPr="0032181F" w:rsidRDefault="0032181F" w:rsidP="0032181F">
      <w:pPr>
        <w:pStyle w:val="NormalWeb"/>
        <w:shd w:val="clear" w:color="auto" w:fill="FFFFFF"/>
        <w:spacing w:before="0" w:beforeAutospacing="0" w:after="0" w:afterAutospacing="0"/>
        <w:ind w:left="720"/>
        <w:jc w:val="both"/>
        <w:rPr>
          <w:color w:val="212121"/>
          <w:sz w:val="22"/>
          <w:szCs w:val="22"/>
          <w:lang w:val="en-US"/>
        </w:rPr>
      </w:pPr>
      <w:r w:rsidRPr="0032181F">
        <w:rPr>
          <w:rFonts w:ascii="Calibri" w:hAnsi="Calibri" w:cs="Calibri"/>
          <w:color w:val="000000"/>
          <w:sz w:val="22"/>
          <w:szCs w:val="22"/>
          <w:lang w:val="en-US"/>
        </w:rPr>
        <w:t>Payment will be made by the following institutions:</w:t>
      </w:r>
    </w:p>
    <w:p w:rsidR="0032181F" w:rsidRPr="0032181F" w:rsidRDefault="0032181F" w:rsidP="0032181F">
      <w:pPr>
        <w:pStyle w:val="NormalWeb"/>
        <w:shd w:val="clear" w:color="auto" w:fill="FFFFFF"/>
        <w:spacing w:before="0" w:beforeAutospacing="0" w:after="0" w:afterAutospacing="0"/>
        <w:ind w:left="720"/>
        <w:jc w:val="both"/>
        <w:rPr>
          <w:color w:val="212121"/>
          <w:sz w:val="22"/>
          <w:szCs w:val="22"/>
          <w:lang w:val="en-US"/>
        </w:rPr>
      </w:pPr>
      <w:r w:rsidRPr="0032181F">
        <w:rPr>
          <w:rFonts w:ascii="Calibri" w:hAnsi="Calibri" w:cs="Calibri"/>
          <w:color w:val="000000"/>
          <w:sz w:val="22"/>
          <w:szCs w:val="22"/>
          <w:lang w:val="en-US"/>
        </w:rPr>
        <w:t>State banks:  Caixa Econômica Federal, Banco do Brasil, Banco da Amazônia, Banco do Nordeste</w:t>
      </w:r>
      <w:r w:rsidRPr="0032181F">
        <w:rPr>
          <w:color w:val="212121"/>
          <w:sz w:val="22"/>
          <w:szCs w:val="22"/>
          <w:lang w:val="en-US"/>
        </w:rPr>
        <w:t xml:space="preserve"> </w:t>
      </w:r>
      <w:r w:rsidRPr="0032181F">
        <w:rPr>
          <w:rFonts w:ascii="Calibri" w:hAnsi="Calibri" w:cs="Calibri"/>
          <w:color w:val="000000"/>
          <w:sz w:val="22"/>
          <w:szCs w:val="22"/>
          <w:lang w:val="en-US"/>
        </w:rPr>
        <w:t>Lottery agencies and post offices.</w:t>
      </w:r>
    </w:p>
    <w:p w:rsidR="0032181F" w:rsidRPr="0032181F" w:rsidRDefault="0032181F" w:rsidP="0032181F">
      <w:pPr>
        <w:pStyle w:val="NormalWeb"/>
        <w:shd w:val="clear" w:color="auto" w:fill="FFFFFF"/>
        <w:spacing w:before="0" w:beforeAutospacing="0" w:after="0" w:afterAutospacing="0"/>
        <w:ind w:firstLine="50"/>
        <w:jc w:val="both"/>
        <w:rPr>
          <w:color w:val="212121"/>
          <w:sz w:val="22"/>
          <w:szCs w:val="22"/>
          <w:lang w:val="en-US"/>
        </w:rPr>
      </w:pPr>
    </w:p>
    <w:p w:rsidR="0032181F" w:rsidRPr="0032181F" w:rsidRDefault="0032181F" w:rsidP="0032181F">
      <w:pPr>
        <w:pStyle w:val="NormalWeb"/>
        <w:numPr>
          <w:ilvl w:val="0"/>
          <w:numId w:val="4"/>
        </w:numPr>
        <w:shd w:val="clear" w:color="auto" w:fill="FFFFFF"/>
        <w:spacing w:before="0" w:beforeAutospacing="0" w:after="0" w:afterAutospacing="0"/>
        <w:jc w:val="both"/>
        <w:rPr>
          <w:color w:val="212121"/>
          <w:sz w:val="22"/>
          <w:szCs w:val="22"/>
          <w:lang w:val="en-US"/>
        </w:rPr>
      </w:pPr>
      <w:r w:rsidRPr="0032181F">
        <w:rPr>
          <w:rFonts w:ascii="Calibri" w:hAnsi="Calibri" w:cs="Calibri"/>
          <w:color w:val="000000"/>
          <w:sz w:val="22"/>
          <w:szCs w:val="22"/>
          <w:lang w:val="en-US"/>
        </w:rPr>
        <w:t>The challenge is how to reach those who do not have a bank account. The Government has not decided yet how to reach them.</w:t>
      </w:r>
    </w:p>
    <w:p w:rsidR="003146D6" w:rsidRPr="0032181F" w:rsidRDefault="003146D6" w:rsidP="008814D4">
      <w:pPr>
        <w:rPr>
          <w:b/>
          <w:color w:val="1F4E79" w:themeColor="accent1" w:themeShade="80"/>
          <w:lang w:val="en-US"/>
        </w:rPr>
      </w:pPr>
    </w:p>
    <w:p w:rsidR="003146D6" w:rsidRDefault="003146D6" w:rsidP="008814D4">
      <w:pPr>
        <w:rPr>
          <w:b/>
          <w:color w:val="1F4E79" w:themeColor="accent1" w:themeShade="80"/>
        </w:rPr>
      </w:pPr>
    </w:p>
    <w:p w:rsidR="00C211E9" w:rsidRDefault="00C211E9" w:rsidP="008814D4">
      <w:pPr>
        <w:rPr>
          <w:b/>
          <w:color w:val="1F4E79" w:themeColor="accent1" w:themeShade="80"/>
        </w:rPr>
      </w:pPr>
    </w:p>
    <w:p w:rsidR="00C211E9" w:rsidRDefault="00C211E9" w:rsidP="008814D4">
      <w:pPr>
        <w:rPr>
          <w:b/>
          <w:color w:val="1F4E79" w:themeColor="accent1" w:themeShade="80"/>
        </w:rPr>
      </w:pPr>
    </w:p>
    <w:p w:rsidR="00C211E9" w:rsidRDefault="00C211E9" w:rsidP="008814D4">
      <w:pPr>
        <w:rPr>
          <w:b/>
          <w:color w:val="1F4E79" w:themeColor="accent1" w:themeShade="80"/>
        </w:rPr>
      </w:pPr>
    </w:p>
    <w:p w:rsidR="008814D4" w:rsidRDefault="006B0338" w:rsidP="009E6C5B">
      <w:pPr>
        <w:pStyle w:val="Listeavsnitt"/>
        <w:numPr>
          <w:ilvl w:val="0"/>
          <w:numId w:val="9"/>
        </w:numPr>
        <w:rPr>
          <w:b/>
          <w:color w:val="1F4E79" w:themeColor="accent1" w:themeShade="80"/>
        </w:rPr>
      </w:pPr>
      <w:r w:rsidRPr="009E6C5B">
        <w:rPr>
          <w:b/>
          <w:color w:val="1F4E79" w:themeColor="accent1" w:themeShade="80"/>
        </w:rPr>
        <w:lastRenderedPageBreak/>
        <w:t>ARMENIA – ANTI-CRISIS MEASURE</w:t>
      </w:r>
      <w:r w:rsidR="0032181F" w:rsidRPr="009E6C5B">
        <w:rPr>
          <w:b/>
          <w:color w:val="1F4E79" w:themeColor="accent1" w:themeShade="80"/>
        </w:rPr>
        <w:t>S</w:t>
      </w:r>
      <w:r w:rsidRPr="009E6C5B">
        <w:rPr>
          <w:b/>
          <w:color w:val="1F4E79" w:themeColor="accent1" w:themeShade="80"/>
        </w:rPr>
        <w:t xml:space="preserve"> TARGETING </w:t>
      </w:r>
      <w:r w:rsidR="003146D6" w:rsidRPr="009E6C5B">
        <w:rPr>
          <w:b/>
          <w:color w:val="1F4E79" w:themeColor="accent1" w:themeShade="80"/>
        </w:rPr>
        <w:t xml:space="preserve">VULNERABLE GROUPS </w:t>
      </w:r>
      <w:r w:rsidR="0032181F" w:rsidRPr="009E6C5B">
        <w:rPr>
          <w:b/>
          <w:color w:val="1F4E79" w:themeColor="accent1" w:themeShade="80"/>
        </w:rPr>
        <w:t xml:space="preserve">INCLUDING </w:t>
      </w:r>
      <w:r w:rsidRPr="009E6C5B">
        <w:rPr>
          <w:b/>
          <w:color w:val="1F4E79" w:themeColor="accent1" w:themeShade="80"/>
        </w:rPr>
        <w:t>INFORMAL WORKERS</w:t>
      </w:r>
    </w:p>
    <w:p w:rsidR="009E6C5B" w:rsidRPr="009E6C5B" w:rsidRDefault="009E6C5B" w:rsidP="009E6C5B">
      <w:pPr>
        <w:pStyle w:val="Listeavsnitt"/>
        <w:ind w:left="1080"/>
        <w:rPr>
          <w:b/>
          <w:color w:val="1F4E79" w:themeColor="accent1" w:themeShade="80"/>
        </w:rPr>
      </w:pPr>
    </w:p>
    <w:p w:rsidR="008814D4" w:rsidRDefault="006B0338" w:rsidP="0032181F">
      <w:pPr>
        <w:pStyle w:val="Listeavsnitt"/>
        <w:numPr>
          <w:ilvl w:val="0"/>
          <w:numId w:val="6"/>
        </w:numPr>
        <w:shd w:val="clear" w:color="auto" w:fill="FFFFFF"/>
        <w:spacing w:after="0" w:line="330" w:lineRule="atLeast"/>
        <w:textAlignment w:val="baseline"/>
      </w:pPr>
      <w:r>
        <w:t>The assistance is intended to target</w:t>
      </w:r>
      <w:r w:rsidR="008814D4">
        <w:t xml:space="preserve"> socially vulnerable families with children below the age of 18.</w:t>
      </w:r>
    </w:p>
    <w:p w:rsidR="008814D4" w:rsidRDefault="008814D4" w:rsidP="0032181F">
      <w:pPr>
        <w:pStyle w:val="Listeavsnitt"/>
        <w:numPr>
          <w:ilvl w:val="0"/>
          <w:numId w:val="6"/>
        </w:numPr>
        <w:shd w:val="clear" w:color="auto" w:fill="FFFFFF"/>
        <w:spacing w:after="0" w:line="330" w:lineRule="atLeast"/>
        <w:textAlignment w:val="baseline"/>
      </w:pPr>
      <w:r>
        <w:t>The potential beneficiaries are children whose parents (or single parent) were not officially registered for any employment as of March 12, 2020 and were not hired (individually or together) for any temporary or permanent position in the period between March 12 and 31. Also the children whose parents did not have the status of an individual entrepreneur (individually or together) or had their activity terminated as of the above date are potential beneficiaries.</w:t>
      </w:r>
    </w:p>
    <w:p w:rsidR="008814D4" w:rsidRDefault="008814D4" w:rsidP="008814D4">
      <w:pPr>
        <w:shd w:val="clear" w:color="auto" w:fill="FFFFFF"/>
        <w:spacing w:after="0" w:line="330" w:lineRule="atLeast"/>
        <w:textAlignment w:val="baseline"/>
      </w:pPr>
    </w:p>
    <w:p w:rsidR="008814D4" w:rsidRDefault="008814D4" w:rsidP="0032181F">
      <w:pPr>
        <w:pStyle w:val="Listeavsnitt"/>
        <w:numPr>
          <w:ilvl w:val="0"/>
          <w:numId w:val="6"/>
        </w:numPr>
      </w:pPr>
      <w:r>
        <w:t>A family can’t benefit from this measure:</w:t>
      </w:r>
    </w:p>
    <w:p w:rsidR="008814D4" w:rsidRDefault="008814D4" w:rsidP="008814D4">
      <w:pPr>
        <w:pStyle w:val="Listeavsnitt"/>
        <w:numPr>
          <w:ilvl w:val="0"/>
          <w:numId w:val="1"/>
        </w:numPr>
      </w:pPr>
      <w:r>
        <w:t>If the general monthly income of both parents or the income of one of the parents was more than 500,000AMD in January-March 2020;</w:t>
      </w:r>
    </w:p>
    <w:p w:rsidR="008814D4" w:rsidRDefault="008814D4" w:rsidP="008814D4">
      <w:pPr>
        <w:pStyle w:val="Listeavsnitt"/>
        <w:numPr>
          <w:ilvl w:val="0"/>
          <w:numId w:val="1"/>
        </w:numPr>
        <w:shd w:val="clear" w:color="auto" w:fill="FFFFFF"/>
        <w:spacing w:after="0" w:line="330" w:lineRule="atLeast"/>
        <w:textAlignment w:val="baseline"/>
      </w:pPr>
      <w:r>
        <w:t>If the family is registered in the system of family benefits or it has more than 28.01 estimated score.</w:t>
      </w:r>
    </w:p>
    <w:p w:rsidR="008814D4" w:rsidRDefault="008814D4" w:rsidP="0032181F">
      <w:pPr>
        <w:pStyle w:val="Listeavsnitt"/>
        <w:numPr>
          <w:ilvl w:val="0"/>
          <w:numId w:val="7"/>
        </w:numPr>
        <w:shd w:val="clear" w:color="auto" w:fill="FFFFFF"/>
        <w:spacing w:after="0" w:line="330" w:lineRule="atLeast"/>
        <w:textAlignment w:val="baseline"/>
      </w:pPr>
      <w:r>
        <w:t>Support is provided as a lump sum payment in the amount of 26,500 AMD.</w:t>
      </w:r>
    </w:p>
    <w:p w:rsidR="008814D4" w:rsidRDefault="008814D4" w:rsidP="008814D4">
      <w:pPr>
        <w:shd w:val="clear" w:color="auto" w:fill="FFFFFF"/>
        <w:spacing w:after="0" w:line="330" w:lineRule="atLeast"/>
        <w:textAlignment w:val="baseline"/>
      </w:pPr>
    </w:p>
    <w:p w:rsidR="008814D4" w:rsidRDefault="008814D4" w:rsidP="0032181F">
      <w:pPr>
        <w:pStyle w:val="Listeavsnitt"/>
        <w:numPr>
          <w:ilvl w:val="0"/>
          <w:numId w:val="7"/>
        </w:numPr>
        <w:shd w:val="clear" w:color="auto" w:fill="FFFFFF"/>
        <w:spacing w:after="0" w:line="330" w:lineRule="atLeast"/>
        <w:textAlignment w:val="baseline"/>
      </w:pPr>
      <w:r>
        <w:t xml:space="preserve">The term beneficiary will apply to families whose children and parents (or at least one child and parent) were permanent residents of Armenia and lived in Armenia between March 12-31. </w:t>
      </w:r>
    </w:p>
    <w:p w:rsidR="006B0338" w:rsidRDefault="006B0338" w:rsidP="008814D4">
      <w:pPr>
        <w:shd w:val="clear" w:color="auto" w:fill="FFFFFF"/>
        <w:spacing w:after="0" w:line="330" w:lineRule="atLeast"/>
        <w:textAlignment w:val="baseline"/>
      </w:pPr>
    </w:p>
    <w:p w:rsidR="008814D4" w:rsidRPr="006B0338" w:rsidRDefault="006B0338" w:rsidP="0032181F">
      <w:pPr>
        <w:pStyle w:val="Listeavsnitt"/>
        <w:numPr>
          <w:ilvl w:val="0"/>
          <w:numId w:val="7"/>
        </w:numPr>
        <w:shd w:val="clear" w:color="auto" w:fill="FFFFFF"/>
        <w:spacing w:after="0" w:line="330" w:lineRule="atLeast"/>
        <w:textAlignment w:val="baseline"/>
      </w:pPr>
      <w:r w:rsidRPr="0032181F">
        <w:rPr>
          <w:rFonts w:ascii="Segoe UI" w:hAnsi="Segoe UI" w:cs="Segoe UI"/>
          <w:i/>
          <w:color w:val="212121"/>
          <w:shd w:val="clear" w:color="auto" w:fill="FFFFFF"/>
        </w:rPr>
        <w:t>It was</w:t>
      </w:r>
      <w:r w:rsidR="008814D4" w:rsidRPr="0032181F">
        <w:rPr>
          <w:rFonts w:ascii="Segoe UI" w:hAnsi="Segoe UI" w:cs="Segoe UI"/>
          <w:i/>
          <w:color w:val="212121"/>
          <w:shd w:val="clear" w:color="auto" w:fill="FFFFFF"/>
        </w:rPr>
        <w:t xml:space="preserve"> decided that this assistan</w:t>
      </w:r>
      <w:r w:rsidRPr="0032181F">
        <w:rPr>
          <w:rFonts w:ascii="Segoe UI" w:hAnsi="Segoe UI" w:cs="Segoe UI"/>
          <w:i/>
          <w:color w:val="212121"/>
          <w:shd w:val="clear" w:color="auto" w:fill="FFFFFF"/>
        </w:rPr>
        <w:t>ce packages for family with children</w:t>
      </w:r>
      <w:r w:rsidR="0032181F" w:rsidRPr="0032181F">
        <w:rPr>
          <w:rFonts w:ascii="Segoe UI" w:hAnsi="Segoe UI" w:cs="Segoe UI"/>
          <w:i/>
          <w:color w:val="212121"/>
          <w:shd w:val="clear" w:color="auto" w:fill="FFFFFF"/>
        </w:rPr>
        <w:t xml:space="preserve"> under 18</w:t>
      </w:r>
      <w:r w:rsidR="008814D4" w:rsidRPr="0032181F">
        <w:rPr>
          <w:rFonts w:ascii="Segoe UI" w:hAnsi="Segoe UI" w:cs="Segoe UI"/>
          <w:i/>
          <w:color w:val="212121"/>
          <w:shd w:val="clear" w:color="auto" w:fill="FFFFFF"/>
        </w:rPr>
        <w:t xml:space="preserve"> who lost their source of income will include undeclared workers. They will be able to register on a </w:t>
      </w:r>
      <w:r w:rsidRPr="0032181F">
        <w:rPr>
          <w:rFonts w:ascii="Segoe UI" w:hAnsi="Segoe UI" w:cs="Segoe UI"/>
          <w:i/>
          <w:color w:val="212121"/>
          <w:shd w:val="clear" w:color="auto" w:fill="FFFFFF"/>
        </w:rPr>
        <w:t xml:space="preserve">special </w:t>
      </w:r>
      <w:r w:rsidR="008814D4" w:rsidRPr="0032181F">
        <w:rPr>
          <w:rFonts w:ascii="Segoe UI" w:hAnsi="Segoe UI" w:cs="Segoe UI"/>
          <w:i/>
          <w:color w:val="212121"/>
          <w:shd w:val="clear" w:color="auto" w:fill="FFFFFF"/>
        </w:rPr>
        <w:t>platform</w:t>
      </w:r>
      <w:r>
        <w:t>.</w:t>
      </w:r>
      <w:r w:rsidR="008814D4" w:rsidRPr="006B0338">
        <w:t> </w:t>
      </w:r>
    </w:p>
    <w:p w:rsidR="0001255F" w:rsidRDefault="0001255F"/>
    <w:p w:rsidR="008814D4" w:rsidRDefault="008814D4"/>
    <w:p w:rsidR="0032181F" w:rsidRDefault="0032181F" w:rsidP="008814D4">
      <w:pPr>
        <w:ind w:left="-284" w:right="-330"/>
        <w:jc w:val="both"/>
        <w:rPr>
          <w:b/>
          <w:color w:val="1F4E79" w:themeColor="accent1" w:themeShade="80"/>
        </w:rPr>
      </w:pPr>
    </w:p>
    <w:p w:rsidR="0032181F" w:rsidRDefault="0032181F" w:rsidP="008814D4">
      <w:pPr>
        <w:ind w:left="-284" w:right="-330"/>
        <w:jc w:val="both"/>
        <w:rPr>
          <w:b/>
          <w:color w:val="1F4E79" w:themeColor="accent1" w:themeShade="80"/>
        </w:rPr>
      </w:pPr>
    </w:p>
    <w:p w:rsidR="0032181F" w:rsidRDefault="0032181F" w:rsidP="008814D4">
      <w:pPr>
        <w:ind w:left="-284" w:right="-330"/>
        <w:jc w:val="both"/>
        <w:rPr>
          <w:b/>
          <w:color w:val="1F4E79" w:themeColor="accent1" w:themeShade="80"/>
        </w:rPr>
      </w:pPr>
    </w:p>
    <w:p w:rsidR="0032181F" w:rsidRDefault="0032181F" w:rsidP="008814D4">
      <w:pPr>
        <w:ind w:left="-284" w:right="-330"/>
        <w:jc w:val="both"/>
        <w:rPr>
          <w:b/>
          <w:color w:val="1F4E79" w:themeColor="accent1" w:themeShade="80"/>
        </w:rPr>
      </w:pPr>
    </w:p>
    <w:p w:rsidR="0032181F" w:rsidRDefault="0032181F" w:rsidP="008814D4">
      <w:pPr>
        <w:ind w:left="-284" w:right="-330"/>
        <w:jc w:val="both"/>
        <w:rPr>
          <w:b/>
          <w:color w:val="1F4E79" w:themeColor="accent1" w:themeShade="80"/>
        </w:rPr>
      </w:pPr>
    </w:p>
    <w:p w:rsidR="0032181F" w:rsidRDefault="0032181F" w:rsidP="008814D4">
      <w:pPr>
        <w:ind w:left="-284" w:right="-330"/>
        <w:jc w:val="both"/>
        <w:rPr>
          <w:b/>
          <w:color w:val="1F4E79" w:themeColor="accent1" w:themeShade="80"/>
        </w:rPr>
      </w:pPr>
    </w:p>
    <w:p w:rsidR="0032181F" w:rsidRDefault="0032181F" w:rsidP="008814D4">
      <w:pPr>
        <w:ind w:left="-284" w:right="-330"/>
        <w:jc w:val="both"/>
        <w:rPr>
          <w:b/>
          <w:color w:val="1F4E79" w:themeColor="accent1" w:themeShade="80"/>
        </w:rPr>
      </w:pPr>
    </w:p>
    <w:p w:rsidR="0032181F" w:rsidRDefault="0032181F" w:rsidP="008814D4">
      <w:pPr>
        <w:ind w:left="-284" w:right="-330"/>
        <w:jc w:val="both"/>
        <w:rPr>
          <w:b/>
          <w:color w:val="1F4E79" w:themeColor="accent1" w:themeShade="80"/>
        </w:rPr>
      </w:pPr>
    </w:p>
    <w:p w:rsidR="0032181F" w:rsidRDefault="0032181F" w:rsidP="008814D4">
      <w:pPr>
        <w:ind w:left="-284" w:right="-330"/>
        <w:jc w:val="both"/>
        <w:rPr>
          <w:b/>
          <w:color w:val="1F4E79" w:themeColor="accent1" w:themeShade="80"/>
        </w:rPr>
      </w:pPr>
    </w:p>
    <w:p w:rsidR="009E6C5B" w:rsidRDefault="009E6C5B" w:rsidP="009E6C5B">
      <w:pPr>
        <w:ind w:right="-330"/>
        <w:jc w:val="both"/>
        <w:rPr>
          <w:b/>
          <w:color w:val="1F4E79" w:themeColor="accent1" w:themeShade="80"/>
        </w:rPr>
      </w:pPr>
    </w:p>
    <w:p w:rsidR="006B0338" w:rsidRPr="009E6C5B" w:rsidRDefault="006B0338" w:rsidP="009E6C5B">
      <w:pPr>
        <w:pStyle w:val="Listeavsnitt"/>
        <w:numPr>
          <w:ilvl w:val="0"/>
          <w:numId w:val="9"/>
        </w:numPr>
        <w:ind w:right="-330"/>
        <w:jc w:val="both"/>
        <w:rPr>
          <w:b/>
          <w:color w:val="1F4E79" w:themeColor="accent1" w:themeShade="80"/>
        </w:rPr>
      </w:pPr>
      <w:r w:rsidRPr="009E6C5B">
        <w:rPr>
          <w:b/>
          <w:color w:val="1F4E79" w:themeColor="accent1" w:themeShade="80"/>
        </w:rPr>
        <w:lastRenderedPageBreak/>
        <w:t xml:space="preserve">ANTI-CRISIS MEASURES IN SELECTED AFRICAN COUNTRIES, AND </w:t>
      </w:r>
      <w:r w:rsidR="0032181F" w:rsidRPr="009E6C5B">
        <w:rPr>
          <w:b/>
          <w:color w:val="1F4E79" w:themeColor="accent1" w:themeShade="80"/>
        </w:rPr>
        <w:t>SOME</w:t>
      </w:r>
      <w:r w:rsidRPr="009E6C5B">
        <w:rPr>
          <w:b/>
          <w:color w:val="1F4E79" w:themeColor="accent1" w:themeShade="80"/>
        </w:rPr>
        <w:t xml:space="preserve"> CONSIDERATIONS CONCERNING INFORMAL WORKERS</w:t>
      </w:r>
    </w:p>
    <w:p w:rsidR="006B0338" w:rsidRDefault="006B0338" w:rsidP="008814D4">
      <w:pPr>
        <w:ind w:left="-284" w:right="-330"/>
        <w:jc w:val="both"/>
      </w:pPr>
    </w:p>
    <w:p w:rsidR="008814D4" w:rsidRDefault="008814D4" w:rsidP="008814D4">
      <w:pPr>
        <w:ind w:left="-284" w:right="-330"/>
        <w:jc w:val="both"/>
      </w:pPr>
      <w:r>
        <w:t>In recognition of the fact that COVID-19 has economic, social and political impact, governments have also adopted various measures not only to protect people’s livelihoods but also to facilitate business continuity and sustain their economies. The table below summarizes the most elaborate responses, which are, understandably, from upper-middle-income economies where a focus on fiscal, monetary and financial economic responses have also extended to labour and employment specific actions. Notably, a significant number of African governments have not articulated any policy responses to meet the challenge yet.</w:t>
      </w:r>
    </w:p>
    <w:p w:rsidR="008814D4" w:rsidRDefault="008814D4" w:rsidP="008814D4">
      <w:pPr>
        <w:ind w:left="-284" w:right="-330"/>
        <w:jc w:val="both"/>
      </w:pPr>
    </w:p>
    <w:p w:rsidR="008814D4" w:rsidRDefault="008814D4" w:rsidP="00377BB7">
      <w:pPr>
        <w:ind w:left="-284" w:right="-330"/>
        <w:jc w:val="both"/>
      </w:pPr>
      <w:r>
        <w:t xml:space="preserve">A careful review of these initial measures would reveal that the focus is on the formal African economy, like airlines losses, trade, infrastructure, energy, insurance, formal businesses, etc. Among those examples coming from different countries, a few measures may reach some of the workers or units in the informal economy.  In Algeria for instance, no one in the informal economy well benefit from those measures. In Egypt, it is not clear that the “stimulus policies” will include those operating in the informal economy. By contrast, some of the measures in Mauritius; Morocco or South Africa may be of interest for the informal economy. These include primarily measures to strengthen the public health system (increase general public health </w:t>
      </w:r>
      <w:r w:rsidR="00377BB7">
        <w:t>spending in Mauritius or</w:t>
      </w:r>
      <w:r>
        <w:t xml:space="preserve"> upgrading medical facilities in Morocco). Also significant will be cash transfers to support the most vulnerable such as the a small monthly payment during the next four months despite the challenge of being able to applying an appropriate targeting criteria (possible in South Africa probably not in most countries).</w:t>
      </w:r>
    </w:p>
    <w:p w:rsidR="008814D4" w:rsidRDefault="008814D4" w:rsidP="008814D4">
      <w:pPr>
        <w:ind w:left="-284" w:right="-330"/>
        <w:jc w:val="both"/>
      </w:pPr>
    </w:p>
    <w:p w:rsidR="008814D4" w:rsidRDefault="008814D4" w:rsidP="008814D4">
      <w:pPr>
        <w:ind w:left="-284" w:right="-330"/>
        <w:jc w:val="both"/>
      </w:pPr>
      <w:r>
        <w:t xml:space="preserve">Overall, there remains concern that these mitigating measures need to target the informal economy if they are to cushion the majority of the African population.  For example, these measures fail to take into account the domino effect of COVID-19 measures on the informal economy: </w:t>
      </w:r>
    </w:p>
    <w:p w:rsidR="008814D4" w:rsidRDefault="008814D4" w:rsidP="008814D4">
      <w:pPr>
        <w:ind w:left="-284" w:right="-330"/>
        <w:jc w:val="both"/>
      </w:pPr>
      <w:r>
        <w:t xml:space="preserve"> </w:t>
      </w:r>
    </w:p>
    <w:p w:rsidR="008814D4" w:rsidRDefault="008814D4" w:rsidP="008814D4">
      <w:pPr>
        <w:ind w:left="-284" w:right="-330"/>
        <w:jc w:val="both"/>
      </w:pPr>
      <w:r>
        <w:t>• The loss of income activities with no substitute for meeting immediate needs of many workers in survivalist activities including street vendors, small food retailers, transport workers and domestic workers and many others (like for instance workers from Beauty and Hair Salon, handicraft and mechanics MSEs) will lead to urban-rural migration which will spread the COVID-19 in rural areas.</w:t>
      </w:r>
    </w:p>
    <w:p w:rsidR="008814D4" w:rsidRDefault="008814D4" w:rsidP="008814D4">
      <w:pPr>
        <w:ind w:left="-284" w:right="-330"/>
        <w:jc w:val="both"/>
      </w:pPr>
    </w:p>
    <w:p w:rsidR="008814D4" w:rsidRDefault="008814D4" w:rsidP="008814D4">
      <w:pPr>
        <w:ind w:left="-284" w:right="-330"/>
        <w:jc w:val="both"/>
      </w:pPr>
      <w:r>
        <w:t>• The decrease of basic consumption goods prices to producers in rural areas because of lack of access to urban markets while the price of those goods in urban setting will increase because of scarcity will be an incentive for informal trading and flows of those goods between rural and urban areas, which can contribute to spread the virus.</w:t>
      </w:r>
    </w:p>
    <w:p w:rsidR="008814D4" w:rsidRDefault="008814D4" w:rsidP="008814D4">
      <w:pPr>
        <w:ind w:left="-284" w:right="-330"/>
        <w:jc w:val="both"/>
      </w:pPr>
    </w:p>
    <w:p w:rsidR="008814D4" w:rsidRDefault="008814D4" w:rsidP="008814D4">
      <w:pPr>
        <w:ind w:left="-284" w:right="-330"/>
        <w:jc w:val="both"/>
      </w:pPr>
      <w:r>
        <w:t>• If a lot of information about the Pandemic is floating around in social media circles and news, there is a general lack of awareness campaigns for the poor and the informal workers, regarding the facts about the virus, its seriousness, the myths around it and most importantly its prevention.</w:t>
      </w:r>
    </w:p>
    <w:p w:rsidR="008814D4" w:rsidRDefault="008814D4" w:rsidP="008814D4">
      <w:pPr>
        <w:ind w:left="-284" w:right="-330"/>
        <w:jc w:val="both"/>
      </w:pPr>
    </w:p>
    <w:p w:rsidR="008814D4" w:rsidRDefault="008814D4" w:rsidP="008814D4">
      <w:pPr>
        <w:ind w:left="-284" w:right="-330"/>
        <w:jc w:val="both"/>
      </w:pPr>
      <w:r>
        <w:lastRenderedPageBreak/>
        <w:t>• The lack of basic sanitary infrastructure in big urban markets, especially for clients and workers to wash regularly their hands, is a factor of virus spreading.</w:t>
      </w:r>
    </w:p>
    <w:p w:rsidR="008814D4" w:rsidRDefault="008814D4"/>
    <w:p w:rsidR="008814D4" w:rsidRPr="006B0338" w:rsidRDefault="009E6C5B" w:rsidP="008814D4">
      <w:pPr>
        <w:ind w:left="-284" w:right="-330"/>
        <w:jc w:val="both"/>
        <w:rPr>
          <w:b/>
          <w:color w:val="1F4E79" w:themeColor="accent1" w:themeShade="80"/>
        </w:rPr>
      </w:pPr>
      <w:r>
        <w:rPr>
          <w:b/>
          <w:color w:val="1F4E79" w:themeColor="accent1" w:themeShade="80"/>
        </w:rPr>
        <w:t xml:space="preserve">IIIa. </w:t>
      </w:r>
      <w:r w:rsidR="006B0338" w:rsidRPr="006B0338">
        <w:rPr>
          <w:b/>
          <w:color w:val="1F4E79" w:themeColor="accent1" w:themeShade="80"/>
        </w:rPr>
        <w:t>IMMEDIATE RESPONSE ACTIONS</w:t>
      </w:r>
    </w:p>
    <w:p w:rsidR="008814D4" w:rsidRDefault="008814D4" w:rsidP="008814D4">
      <w:pPr>
        <w:ind w:left="-284" w:right="-330"/>
        <w:jc w:val="both"/>
      </w:pPr>
    </w:p>
    <w:p w:rsidR="008814D4" w:rsidRDefault="008814D4" w:rsidP="00377BB7">
      <w:pPr>
        <w:ind w:left="-284" w:right="-330"/>
        <w:jc w:val="both"/>
      </w:pPr>
      <w:r>
        <w:t>From the ILO perspective, the immediate response strategy regarding the informal economy should:</w:t>
      </w:r>
    </w:p>
    <w:p w:rsidR="008814D4" w:rsidRDefault="008814D4" w:rsidP="008814D4">
      <w:pPr>
        <w:spacing w:after="120"/>
        <w:ind w:left="-284" w:right="-330"/>
        <w:jc w:val="both"/>
      </w:pPr>
      <w:r>
        <w:t>• Identify the vulnerable groups in the informal economy who will be badly impacted by COVID-19 (and in particular all those operating or using market places) and by policy measures to fight COVID-19 in spite of the challenges to identify and reach the right people in the informal economy</w:t>
      </w:r>
    </w:p>
    <w:p w:rsidR="008814D4" w:rsidRDefault="008814D4" w:rsidP="008814D4">
      <w:pPr>
        <w:spacing w:after="120"/>
        <w:ind w:left="-284" w:right="-330"/>
        <w:jc w:val="both"/>
      </w:pPr>
      <w:r>
        <w:t>• Build on social dialogue mechanisms with public authorities, workers and employers’ organizations and representative organizations of those in the informal economy. This should facilitate:</w:t>
      </w:r>
    </w:p>
    <w:p w:rsidR="00377BB7" w:rsidRDefault="008814D4" w:rsidP="008814D4">
      <w:pPr>
        <w:pStyle w:val="Listeavsnitt"/>
        <w:numPr>
          <w:ilvl w:val="0"/>
          <w:numId w:val="2"/>
        </w:numPr>
        <w:spacing w:after="120" w:line="230" w:lineRule="auto"/>
        <w:ind w:left="-284" w:right="-330" w:firstLine="0"/>
        <w:jc w:val="both"/>
      </w:pPr>
      <w:r>
        <w:t xml:space="preserve">the design of effective measures to mitigate the impact of the outbreak on workers and MSEs in the informal economy, ranging from preventive measures like sanitary infrastructure in market places to allow workers and consumers to wash their hands regularly and provide health kit to fight COVID-19 outbreak; </w:t>
      </w:r>
    </w:p>
    <w:p w:rsidR="00377BB7" w:rsidRDefault="00377BB7" w:rsidP="00377BB7">
      <w:pPr>
        <w:pStyle w:val="Listeavsnitt"/>
        <w:spacing w:after="120" w:line="230" w:lineRule="auto"/>
        <w:ind w:left="-284" w:right="-330"/>
        <w:jc w:val="both"/>
      </w:pPr>
    </w:p>
    <w:p w:rsidR="008814D4" w:rsidRDefault="00377BB7" w:rsidP="00377BB7">
      <w:pPr>
        <w:pStyle w:val="Listeavsnitt"/>
        <w:spacing w:after="120" w:line="230" w:lineRule="auto"/>
        <w:ind w:left="-284" w:right="-330"/>
        <w:jc w:val="both"/>
      </w:pPr>
      <w:r>
        <w:t xml:space="preserve">ii) </w:t>
      </w:r>
      <w:r w:rsidR="008814D4">
        <w:t>awareness raising campaigns and strengthening their capacities to develop risk mitigating measures in line with their sectors, and</w:t>
      </w:r>
      <w:r w:rsidR="006B0338">
        <w:t xml:space="preserve"> </w:t>
      </w:r>
      <w:r w:rsidR="008814D4">
        <w:t>finding the appropriate ways to implement wage/income support measures for workers in the informal economy and deliver special package, either specific for those in the informal economy who will lose their mean for making their living or a universal temporary grant without the issue of targeting.</w:t>
      </w:r>
    </w:p>
    <w:p w:rsidR="00377BB7" w:rsidRDefault="00377BB7" w:rsidP="008814D4"/>
    <w:p w:rsidR="00377BB7" w:rsidRPr="00377BB7" w:rsidRDefault="009E6C5B" w:rsidP="008814D4">
      <w:pPr>
        <w:rPr>
          <w:b/>
          <w:color w:val="1F4E79" w:themeColor="accent1" w:themeShade="80"/>
        </w:rPr>
      </w:pPr>
      <w:r>
        <w:rPr>
          <w:b/>
          <w:color w:val="1F4E79" w:themeColor="accent1" w:themeShade="80"/>
        </w:rPr>
        <w:t xml:space="preserve">IIIb. </w:t>
      </w:r>
      <w:r w:rsidR="00377BB7" w:rsidRPr="00377BB7">
        <w:rPr>
          <w:b/>
          <w:color w:val="1F4E79" w:themeColor="accent1" w:themeShade="80"/>
        </w:rPr>
        <w:t>SUPPORTING EMPLOYMENT AND INCOME</w:t>
      </w:r>
    </w:p>
    <w:tbl>
      <w:tblPr>
        <w:tblStyle w:val="TableGrid1"/>
        <w:tblW w:w="10065" w:type="dxa"/>
        <w:tblInd w:w="-572" w:type="dxa"/>
        <w:tblLook w:val="04A0" w:firstRow="1" w:lastRow="0" w:firstColumn="1" w:lastColumn="0" w:noHBand="0" w:noVBand="1"/>
      </w:tblPr>
      <w:tblGrid>
        <w:gridCol w:w="4536"/>
        <w:gridCol w:w="5529"/>
      </w:tblGrid>
      <w:tr w:rsidR="006B0338" w:rsidTr="006B0338">
        <w:tc>
          <w:tcPr>
            <w:tcW w:w="4536" w:type="dxa"/>
            <w:tcBorders>
              <w:top w:val="single" w:sz="4" w:space="0" w:color="auto"/>
              <w:left w:val="single" w:sz="4" w:space="0" w:color="auto"/>
              <w:bottom w:val="single" w:sz="4" w:space="0" w:color="auto"/>
              <w:right w:val="single" w:sz="4" w:space="0" w:color="auto"/>
            </w:tcBorders>
            <w:hideMark/>
          </w:tcPr>
          <w:p w:rsidR="006B0338" w:rsidRDefault="006B0338">
            <w:pPr>
              <w:spacing w:line="240" w:lineRule="auto"/>
              <w:jc w:val="center"/>
              <w:rPr>
                <w:sz w:val="20"/>
                <w:szCs w:val="20"/>
              </w:rPr>
            </w:pPr>
            <w:r>
              <w:rPr>
                <w:sz w:val="20"/>
                <w:szCs w:val="20"/>
              </w:rPr>
              <w:t>Premise/Concerns</w:t>
            </w:r>
          </w:p>
        </w:tc>
        <w:tc>
          <w:tcPr>
            <w:tcW w:w="5529" w:type="dxa"/>
            <w:tcBorders>
              <w:top w:val="single" w:sz="4" w:space="0" w:color="auto"/>
              <w:left w:val="single" w:sz="4" w:space="0" w:color="auto"/>
              <w:bottom w:val="single" w:sz="4" w:space="0" w:color="auto"/>
              <w:right w:val="single" w:sz="4" w:space="0" w:color="auto"/>
            </w:tcBorders>
            <w:hideMark/>
          </w:tcPr>
          <w:p w:rsidR="006B0338" w:rsidRDefault="006B0338">
            <w:pPr>
              <w:spacing w:line="240" w:lineRule="auto"/>
              <w:jc w:val="center"/>
              <w:rPr>
                <w:sz w:val="20"/>
                <w:szCs w:val="20"/>
              </w:rPr>
            </w:pPr>
            <w:r>
              <w:rPr>
                <w:sz w:val="20"/>
                <w:szCs w:val="20"/>
              </w:rPr>
              <w:t>Recommended Actions</w:t>
            </w:r>
          </w:p>
        </w:tc>
      </w:tr>
      <w:tr w:rsidR="006B0338" w:rsidRPr="006B0338" w:rsidTr="006B0338">
        <w:tc>
          <w:tcPr>
            <w:tcW w:w="4536" w:type="dxa"/>
            <w:tcBorders>
              <w:top w:val="single" w:sz="4" w:space="0" w:color="auto"/>
              <w:left w:val="single" w:sz="4" w:space="0" w:color="auto"/>
              <w:bottom w:val="single" w:sz="4" w:space="0" w:color="auto"/>
              <w:right w:val="single" w:sz="4" w:space="0" w:color="auto"/>
            </w:tcBorders>
          </w:tcPr>
          <w:p w:rsidR="006B0338" w:rsidRDefault="006B0338">
            <w:pPr>
              <w:spacing w:line="240" w:lineRule="auto"/>
              <w:jc w:val="both"/>
              <w:rPr>
                <w:i/>
                <w:sz w:val="16"/>
                <w:szCs w:val="16"/>
              </w:rPr>
            </w:pPr>
            <w:r>
              <w:rPr>
                <w:i/>
                <w:sz w:val="16"/>
                <w:szCs w:val="16"/>
              </w:rPr>
              <w:t>In addition to the lack of infrastructure and institutional capacity, informal economy lacks protection that go beyond health protection that is financial protection. The informal economy is defined by a lack of social and employment protection, meaning no alternative income replacement in case of a loss or a reduction of economic activity</w:t>
            </w:r>
          </w:p>
          <w:p w:rsidR="006B0338" w:rsidRDefault="006B0338">
            <w:pPr>
              <w:spacing w:line="240" w:lineRule="auto"/>
              <w:jc w:val="both"/>
              <w:rPr>
                <w:i/>
                <w:sz w:val="16"/>
                <w:szCs w:val="16"/>
              </w:rPr>
            </w:pPr>
          </w:p>
          <w:p w:rsidR="006B0338" w:rsidRDefault="006B0338">
            <w:pPr>
              <w:spacing w:line="240" w:lineRule="auto"/>
              <w:jc w:val="both"/>
              <w:rPr>
                <w:i/>
                <w:sz w:val="16"/>
                <w:szCs w:val="16"/>
              </w:rPr>
            </w:pPr>
            <w:r>
              <w:rPr>
                <w:i/>
                <w:sz w:val="16"/>
                <w:szCs w:val="16"/>
              </w:rPr>
              <w:t>Workers in the informal economy and their households</w:t>
            </w:r>
          </w:p>
          <w:p w:rsidR="006B0338" w:rsidRDefault="006B0338">
            <w:pPr>
              <w:spacing w:line="240" w:lineRule="auto"/>
              <w:jc w:val="both"/>
              <w:rPr>
                <w:sz w:val="16"/>
                <w:szCs w:val="16"/>
              </w:rPr>
            </w:pPr>
          </w:p>
          <w:p w:rsidR="006B0338" w:rsidRDefault="006B0338">
            <w:pPr>
              <w:spacing w:line="240" w:lineRule="auto"/>
              <w:jc w:val="both"/>
              <w:rPr>
                <w:sz w:val="16"/>
                <w:szCs w:val="16"/>
              </w:rPr>
            </w:pPr>
            <w:r>
              <w:rPr>
                <w:sz w:val="16"/>
                <w:szCs w:val="16"/>
              </w:rPr>
              <w:t xml:space="preserve">Generally, informal economy workers have inadequate safety nets. They lack disposable cash and cannot stockpile food.  They need a sustained income to meet their basic needs. </w:t>
            </w:r>
          </w:p>
          <w:p w:rsidR="006B0338" w:rsidRDefault="006B0338">
            <w:pPr>
              <w:spacing w:line="240" w:lineRule="auto"/>
              <w:jc w:val="both"/>
              <w:rPr>
                <w:sz w:val="16"/>
                <w:szCs w:val="16"/>
              </w:rPr>
            </w:pPr>
          </w:p>
          <w:p w:rsidR="006B0338" w:rsidRDefault="006B0338">
            <w:pPr>
              <w:spacing w:line="240" w:lineRule="auto"/>
              <w:jc w:val="both"/>
              <w:rPr>
                <w:sz w:val="16"/>
                <w:szCs w:val="16"/>
              </w:rPr>
            </w:pPr>
          </w:p>
        </w:tc>
        <w:tc>
          <w:tcPr>
            <w:tcW w:w="5529" w:type="dxa"/>
            <w:tcBorders>
              <w:top w:val="single" w:sz="4" w:space="0" w:color="auto"/>
              <w:left w:val="single" w:sz="4" w:space="0" w:color="auto"/>
              <w:bottom w:val="single" w:sz="4" w:space="0" w:color="auto"/>
              <w:right w:val="single" w:sz="4" w:space="0" w:color="auto"/>
            </w:tcBorders>
          </w:tcPr>
          <w:p w:rsidR="006B0338" w:rsidRDefault="006B0338">
            <w:pPr>
              <w:spacing w:line="240" w:lineRule="auto"/>
              <w:jc w:val="both"/>
              <w:rPr>
                <w:i/>
                <w:sz w:val="16"/>
                <w:szCs w:val="16"/>
              </w:rPr>
            </w:pPr>
            <w:r>
              <w:rPr>
                <w:i/>
                <w:sz w:val="16"/>
                <w:szCs w:val="16"/>
              </w:rPr>
              <w:t>Income replacement measures</w:t>
            </w:r>
          </w:p>
          <w:p w:rsidR="006B0338" w:rsidRDefault="006B0338">
            <w:pPr>
              <w:spacing w:line="240" w:lineRule="auto"/>
              <w:jc w:val="both"/>
              <w:rPr>
                <w:sz w:val="16"/>
                <w:szCs w:val="16"/>
              </w:rPr>
            </w:pPr>
          </w:p>
          <w:p w:rsidR="006B0338" w:rsidRDefault="006B0338">
            <w:pPr>
              <w:spacing w:line="240" w:lineRule="auto"/>
              <w:jc w:val="both"/>
              <w:rPr>
                <w:sz w:val="16"/>
                <w:szCs w:val="16"/>
              </w:rPr>
            </w:pPr>
            <w:r>
              <w:rPr>
                <w:sz w:val="16"/>
                <w:szCs w:val="16"/>
              </w:rPr>
              <w:t>The responses require that the heterogeneity of those in the informal economy be taken into account.</w:t>
            </w:r>
            <w:r>
              <w:t xml:space="preserve"> </w:t>
            </w:r>
            <w:r>
              <w:rPr>
                <w:sz w:val="16"/>
                <w:szCs w:val="16"/>
              </w:rPr>
              <w:t xml:space="preserve">Countries need to understand the composition of informal economy in their country in order to address such diversity with tailored approaches. </w:t>
            </w:r>
          </w:p>
          <w:p w:rsidR="006B0338" w:rsidRDefault="006B0338">
            <w:pPr>
              <w:spacing w:line="240" w:lineRule="auto"/>
              <w:jc w:val="both"/>
              <w:rPr>
                <w:sz w:val="16"/>
                <w:szCs w:val="16"/>
              </w:rPr>
            </w:pPr>
          </w:p>
          <w:p w:rsidR="006B0338" w:rsidRDefault="006B0338">
            <w:pPr>
              <w:spacing w:line="240" w:lineRule="auto"/>
              <w:jc w:val="both"/>
              <w:rPr>
                <w:sz w:val="16"/>
                <w:szCs w:val="16"/>
              </w:rPr>
            </w:pPr>
            <w:r>
              <w:rPr>
                <w:sz w:val="16"/>
                <w:szCs w:val="16"/>
              </w:rPr>
              <w:t xml:space="preserve">Where a large per cent of the operators in the informal economy are self-employed, dependent contractors, and contributing family workers, irrespective of whether they work in economic units in the formal or informal economy, social assistance can be introduced, extended, and integrated into the social security system at a later stage. Because of the nature of the COVID-19 pandemic, a time-bound universal assistance should be considered since targeting in cases where the majority of the people are the informal economy would be challenging. </w:t>
            </w:r>
          </w:p>
          <w:p w:rsidR="006B0338" w:rsidRDefault="006B0338">
            <w:pPr>
              <w:spacing w:line="240" w:lineRule="auto"/>
              <w:jc w:val="both"/>
              <w:rPr>
                <w:sz w:val="16"/>
                <w:szCs w:val="16"/>
              </w:rPr>
            </w:pPr>
          </w:p>
          <w:p w:rsidR="006B0338" w:rsidRDefault="006B0338">
            <w:pPr>
              <w:spacing w:line="240" w:lineRule="auto"/>
              <w:jc w:val="both"/>
              <w:rPr>
                <w:sz w:val="16"/>
                <w:szCs w:val="16"/>
              </w:rPr>
            </w:pPr>
            <w:r>
              <w:rPr>
                <w:sz w:val="16"/>
                <w:szCs w:val="16"/>
              </w:rPr>
              <w:t>Consider extending the coverage of social insurance to those in the informal economy and, if necessary, adapt administrative procedures, benefits and contributions, taking into account their contributory capacity.</w:t>
            </w:r>
            <w:r>
              <w:t xml:space="preserve"> </w:t>
            </w:r>
            <w:r>
              <w:rPr>
                <w:sz w:val="16"/>
                <w:szCs w:val="16"/>
              </w:rPr>
              <w:t>Where social insurance systems do not exist, this is an opportunity to develop them.</w:t>
            </w:r>
          </w:p>
          <w:p w:rsidR="006B0338" w:rsidRDefault="006B0338">
            <w:pPr>
              <w:spacing w:line="240" w:lineRule="auto"/>
              <w:jc w:val="both"/>
              <w:rPr>
                <w:sz w:val="16"/>
                <w:szCs w:val="16"/>
              </w:rPr>
            </w:pPr>
          </w:p>
          <w:p w:rsidR="006B0338" w:rsidRDefault="006B0338">
            <w:pPr>
              <w:spacing w:line="240" w:lineRule="auto"/>
              <w:jc w:val="both"/>
              <w:rPr>
                <w:i/>
                <w:sz w:val="16"/>
                <w:szCs w:val="16"/>
              </w:rPr>
            </w:pPr>
            <w:r>
              <w:rPr>
                <w:i/>
                <w:sz w:val="16"/>
                <w:szCs w:val="16"/>
              </w:rPr>
              <w:t>Encouraging micro-insurance and area-based schemes</w:t>
            </w:r>
          </w:p>
          <w:p w:rsidR="006B0338" w:rsidRDefault="006B0338">
            <w:pPr>
              <w:spacing w:line="240" w:lineRule="auto"/>
              <w:jc w:val="both"/>
              <w:rPr>
                <w:sz w:val="16"/>
                <w:szCs w:val="16"/>
              </w:rPr>
            </w:pPr>
          </w:p>
          <w:p w:rsidR="006B0338" w:rsidRDefault="006B0338">
            <w:pPr>
              <w:spacing w:line="240" w:lineRule="auto"/>
              <w:jc w:val="both"/>
              <w:rPr>
                <w:sz w:val="16"/>
                <w:szCs w:val="16"/>
              </w:rPr>
            </w:pPr>
            <w:r>
              <w:rPr>
                <w:sz w:val="16"/>
                <w:szCs w:val="16"/>
              </w:rPr>
              <w:t xml:space="preserve">Micro-insurance is not merely another form of insurance or health-care financing. It is a form of social organization, based on the concepts of solidarity and risk-pooling, which involves the active participation of the group’s members. Typically, these groups are already organized, for example, to provide microcredit facilities to their members: micro-insurance is often therefore an extension of their activities. The organizations may use some of the surplus from their core activities to finance the health insurance scheme. </w:t>
            </w:r>
          </w:p>
        </w:tc>
      </w:tr>
      <w:tr w:rsidR="006B0338" w:rsidRPr="006B0338" w:rsidTr="006B0338">
        <w:tc>
          <w:tcPr>
            <w:tcW w:w="4536" w:type="dxa"/>
            <w:tcBorders>
              <w:top w:val="single" w:sz="4" w:space="0" w:color="auto"/>
              <w:left w:val="single" w:sz="4" w:space="0" w:color="auto"/>
              <w:bottom w:val="single" w:sz="4" w:space="0" w:color="auto"/>
              <w:right w:val="single" w:sz="4" w:space="0" w:color="auto"/>
            </w:tcBorders>
          </w:tcPr>
          <w:p w:rsidR="006B0338" w:rsidRDefault="006B0338">
            <w:pPr>
              <w:spacing w:after="120" w:line="240" w:lineRule="auto"/>
              <w:jc w:val="both"/>
              <w:rPr>
                <w:i/>
                <w:sz w:val="16"/>
                <w:szCs w:val="16"/>
              </w:rPr>
            </w:pPr>
            <w:r>
              <w:rPr>
                <w:i/>
                <w:sz w:val="16"/>
                <w:szCs w:val="16"/>
              </w:rPr>
              <w:t>Informal economic units and households</w:t>
            </w:r>
          </w:p>
          <w:p w:rsidR="006B0338" w:rsidRDefault="006B0338">
            <w:pPr>
              <w:spacing w:line="240" w:lineRule="auto"/>
              <w:jc w:val="both"/>
              <w:rPr>
                <w:sz w:val="16"/>
                <w:szCs w:val="16"/>
              </w:rPr>
            </w:pPr>
            <w:r>
              <w:rPr>
                <w:sz w:val="16"/>
                <w:szCs w:val="16"/>
              </w:rPr>
              <w:lastRenderedPageBreak/>
              <w:t>Loss of demand for goods and services as well as disruptions in supply chains will lead to loss of employment and income, temporarily or long periods.</w:t>
            </w:r>
          </w:p>
          <w:p w:rsidR="006B0338" w:rsidRDefault="006B0338">
            <w:pPr>
              <w:spacing w:line="240" w:lineRule="auto"/>
              <w:jc w:val="both"/>
              <w:rPr>
                <w:sz w:val="16"/>
                <w:szCs w:val="16"/>
              </w:rPr>
            </w:pPr>
          </w:p>
          <w:p w:rsidR="006B0338" w:rsidRDefault="006B0338">
            <w:pPr>
              <w:spacing w:line="240" w:lineRule="auto"/>
              <w:jc w:val="both"/>
              <w:rPr>
                <w:sz w:val="16"/>
                <w:szCs w:val="16"/>
              </w:rPr>
            </w:pPr>
          </w:p>
        </w:tc>
        <w:tc>
          <w:tcPr>
            <w:tcW w:w="5529" w:type="dxa"/>
            <w:tcBorders>
              <w:top w:val="single" w:sz="4" w:space="0" w:color="auto"/>
              <w:left w:val="single" w:sz="4" w:space="0" w:color="auto"/>
              <w:bottom w:val="single" w:sz="4" w:space="0" w:color="auto"/>
              <w:right w:val="single" w:sz="4" w:space="0" w:color="auto"/>
            </w:tcBorders>
          </w:tcPr>
          <w:p w:rsidR="006B0338" w:rsidRDefault="006B0338">
            <w:pPr>
              <w:spacing w:line="240" w:lineRule="auto"/>
              <w:jc w:val="both"/>
              <w:rPr>
                <w:sz w:val="16"/>
                <w:szCs w:val="16"/>
              </w:rPr>
            </w:pPr>
            <w:r>
              <w:rPr>
                <w:sz w:val="16"/>
                <w:szCs w:val="16"/>
              </w:rPr>
              <w:lastRenderedPageBreak/>
              <w:t xml:space="preserve">For employees holding informal jobs in or for formal enterprises, or in or for economic units in the informal economy, including but not limited to those in </w:t>
            </w:r>
            <w:r>
              <w:rPr>
                <w:sz w:val="16"/>
                <w:szCs w:val="16"/>
              </w:rPr>
              <w:lastRenderedPageBreak/>
              <w:t>subcontracting and in supply chains, or as paid domestic workers employed by households such measures may include employment protection agreements ensuring at the same an effective to social insurance.</w:t>
            </w:r>
          </w:p>
          <w:p w:rsidR="006B0338" w:rsidRDefault="006B0338">
            <w:pPr>
              <w:spacing w:line="240" w:lineRule="auto"/>
              <w:jc w:val="both"/>
              <w:rPr>
                <w:sz w:val="16"/>
                <w:szCs w:val="16"/>
              </w:rPr>
            </w:pPr>
          </w:p>
          <w:p w:rsidR="006B0338" w:rsidRDefault="006B0338">
            <w:pPr>
              <w:spacing w:line="240" w:lineRule="auto"/>
              <w:jc w:val="both"/>
              <w:rPr>
                <w:sz w:val="16"/>
                <w:szCs w:val="16"/>
              </w:rPr>
            </w:pPr>
            <w:r>
              <w:rPr>
                <w:sz w:val="16"/>
                <w:szCs w:val="16"/>
              </w:rPr>
              <w:t xml:space="preserve">Economic units affected by shutdown could be compensated. Other measures include temporary exemptions from tax payments, remissions, discounts, deferred payments, advance or accelerated repayments, accelerated depreciation, etc.) </w:t>
            </w:r>
          </w:p>
          <w:p w:rsidR="006B0338" w:rsidRDefault="006B0338">
            <w:pPr>
              <w:spacing w:line="240" w:lineRule="auto"/>
              <w:jc w:val="both"/>
              <w:rPr>
                <w:sz w:val="16"/>
                <w:szCs w:val="16"/>
              </w:rPr>
            </w:pPr>
          </w:p>
          <w:p w:rsidR="006B0338" w:rsidRDefault="006B0338">
            <w:pPr>
              <w:spacing w:line="240" w:lineRule="auto"/>
              <w:jc w:val="both"/>
              <w:rPr>
                <w:sz w:val="16"/>
                <w:szCs w:val="16"/>
              </w:rPr>
            </w:pPr>
            <w:r>
              <w:rPr>
                <w:sz w:val="16"/>
                <w:szCs w:val="16"/>
              </w:rPr>
              <w:t>Support informal economic units involved in production of tools and materials for Covid 19 mitigation such as hand washing facilities or production of masks.</w:t>
            </w:r>
          </w:p>
          <w:p w:rsidR="006B0338" w:rsidRDefault="006B0338">
            <w:pPr>
              <w:spacing w:line="240" w:lineRule="auto"/>
              <w:jc w:val="both"/>
              <w:rPr>
                <w:sz w:val="16"/>
                <w:szCs w:val="16"/>
              </w:rPr>
            </w:pPr>
          </w:p>
          <w:p w:rsidR="006B0338" w:rsidRDefault="006B0338">
            <w:pPr>
              <w:spacing w:line="240" w:lineRule="auto"/>
              <w:jc w:val="both"/>
              <w:rPr>
                <w:sz w:val="16"/>
                <w:szCs w:val="16"/>
              </w:rPr>
            </w:pPr>
            <w:r>
              <w:rPr>
                <w:sz w:val="16"/>
                <w:szCs w:val="16"/>
              </w:rPr>
              <w:t xml:space="preserve">The targeting concerns can be addressed through the use of technology - </w:t>
            </w:r>
          </w:p>
          <w:p w:rsidR="006B0338" w:rsidRDefault="006B0338">
            <w:pPr>
              <w:spacing w:line="240" w:lineRule="auto"/>
              <w:jc w:val="both"/>
              <w:rPr>
                <w:sz w:val="16"/>
                <w:szCs w:val="16"/>
              </w:rPr>
            </w:pPr>
            <w:r>
              <w:rPr>
                <w:sz w:val="16"/>
                <w:szCs w:val="16"/>
              </w:rPr>
              <w:t xml:space="preserve">• Mobile e-wallets: most people, regardless of formal or informal, have a mobile phone. An e-wallet service provider could be used (seizing the development of new financial technologies that are already available) </w:t>
            </w:r>
          </w:p>
          <w:p w:rsidR="006B0338" w:rsidRDefault="006B0338">
            <w:pPr>
              <w:spacing w:line="240" w:lineRule="auto"/>
              <w:jc w:val="both"/>
              <w:rPr>
                <w:sz w:val="16"/>
                <w:szCs w:val="16"/>
              </w:rPr>
            </w:pPr>
            <w:r>
              <w:rPr>
                <w:sz w:val="16"/>
                <w:szCs w:val="16"/>
              </w:rPr>
              <w:t xml:space="preserve">• Conditional cash transfer system, where applies, for beneficiaries that work in the informal economy </w:t>
            </w:r>
          </w:p>
          <w:p w:rsidR="006B0338" w:rsidRDefault="006B0338">
            <w:pPr>
              <w:spacing w:line="240" w:lineRule="auto"/>
              <w:jc w:val="both"/>
              <w:rPr>
                <w:sz w:val="16"/>
                <w:szCs w:val="16"/>
              </w:rPr>
            </w:pPr>
            <w:r>
              <w:rPr>
                <w:sz w:val="16"/>
                <w:szCs w:val="16"/>
              </w:rPr>
              <w:t>• Debit cards distributed by governments to households: either pre-paid or monthly payment</w:t>
            </w:r>
          </w:p>
        </w:tc>
      </w:tr>
    </w:tbl>
    <w:p w:rsidR="006B0338" w:rsidRDefault="006B0338" w:rsidP="008814D4">
      <w:pPr>
        <w:rPr>
          <w:rFonts w:ascii="Noto Sans" w:eastAsia="Noto Sans" w:hAnsi="Noto Sans" w:cs="Noto Sans"/>
          <w:color w:val="1F2153"/>
          <w:sz w:val="18"/>
          <w:lang w:eastAsia="en-GB"/>
        </w:rPr>
      </w:pPr>
    </w:p>
    <w:p w:rsidR="00641C3B" w:rsidRPr="00641C3B" w:rsidRDefault="009E6C5B" w:rsidP="00641C3B">
      <w:pPr>
        <w:shd w:val="clear" w:color="auto" w:fill="FFFFFF"/>
        <w:spacing w:after="0" w:line="240" w:lineRule="auto"/>
        <w:rPr>
          <w:rFonts w:eastAsia="Times New Roman" w:cstheme="minorHAnsi"/>
          <w:b/>
          <w:color w:val="1F4E79" w:themeColor="accent1" w:themeShade="80"/>
          <w:lang w:eastAsia="nb-NO"/>
        </w:rPr>
      </w:pPr>
      <w:r>
        <w:rPr>
          <w:rFonts w:eastAsia="Times New Roman" w:cstheme="minorHAnsi"/>
          <w:b/>
          <w:color w:val="1F4E79" w:themeColor="accent1" w:themeShade="80"/>
          <w:lang w:eastAsia="nb-NO"/>
        </w:rPr>
        <w:t xml:space="preserve">IIIc. </w:t>
      </w:r>
      <w:bookmarkStart w:id="0" w:name="_GoBack"/>
      <w:bookmarkEnd w:id="0"/>
      <w:r w:rsidR="00641C3B" w:rsidRPr="00641C3B">
        <w:rPr>
          <w:rFonts w:eastAsia="Times New Roman" w:cstheme="minorHAnsi"/>
          <w:b/>
          <w:color w:val="1F4E79" w:themeColor="accent1" w:themeShade="80"/>
          <w:lang w:eastAsia="nb-NO"/>
        </w:rPr>
        <w:t>IN ORDER TO SECURE OUTREACH TO THE INFORMAL WORKERS, THE SEQUENCING COULD BE:</w:t>
      </w:r>
    </w:p>
    <w:p w:rsidR="00641C3B" w:rsidRPr="00641C3B" w:rsidRDefault="00641C3B" w:rsidP="00641C3B">
      <w:pPr>
        <w:shd w:val="clear" w:color="auto" w:fill="FFFFFF"/>
        <w:spacing w:after="0" w:line="240" w:lineRule="auto"/>
        <w:rPr>
          <w:rFonts w:eastAsia="Times New Roman" w:cstheme="minorHAnsi"/>
          <w:color w:val="212121"/>
          <w:lang w:val="en-US" w:eastAsia="nb-NO"/>
        </w:rPr>
      </w:pPr>
    </w:p>
    <w:p w:rsidR="00641C3B" w:rsidRPr="00641C3B" w:rsidRDefault="00641C3B" w:rsidP="00641C3B">
      <w:pPr>
        <w:shd w:val="clear" w:color="auto" w:fill="FFFFFF"/>
        <w:spacing w:after="0" w:line="240" w:lineRule="auto"/>
        <w:ind w:left="720" w:hanging="360"/>
        <w:rPr>
          <w:rFonts w:eastAsia="Times New Roman" w:cstheme="minorHAnsi"/>
          <w:color w:val="333333"/>
          <w:lang w:eastAsia="nb-NO"/>
        </w:rPr>
      </w:pPr>
      <w:r w:rsidRPr="00641C3B">
        <w:rPr>
          <w:rFonts w:eastAsia="Times New Roman" w:cstheme="minorHAnsi"/>
          <w:color w:val="333333"/>
          <w:lang w:eastAsia="nb-NO"/>
        </w:rPr>
        <w:t>-</w:t>
      </w:r>
      <w:r>
        <w:rPr>
          <w:rFonts w:eastAsia="Times New Roman" w:cstheme="minorHAnsi"/>
          <w:color w:val="333333"/>
          <w:lang w:eastAsia="nb-NO"/>
        </w:rPr>
        <w:t>     </w:t>
      </w:r>
      <w:r w:rsidRPr="00641C3B">
        <w:rPr>
          <w:rFonts w:eastAsia="Times New Roman" w:cstheme="minorHAnsi"/>
          <w:color w:val="333333"/>
          <w:lang w:eastAsia="nb-NO"/>
        </w:rPr>
        <w:t xml:space="preserve">Self-registration of undeclared workers who lost their </w:t>
      </w:r>
      <w:r>
        <w:rPr>
          <w:rFonts w:eastAsia="Times New Roman" w:cstheme="minorHAnsi"/>
          <w:color w:val="333333"/>
          <w:lang w:eastAsia="nb-NO"/>
        </w:rPr>
        <w:t>job, at employment services or a webplatform (through</w:t>
      </w:r>
      <w:r w:rsidRPr="00641C3B">
        <w:rPr>
          <w:rFonts w:eastAsia="Times New Roman" w:cstheme="minorHAnsi"/>
          <w:color w:val="333333"/>
          <w:lang w:eastAsia="nb-NO"/>
        </w:rPr>
        <w:t xml:space="preserve"> a mechanism in which the application must be supported by two recommenda</w:t>
      </w:r>
      <w:r>
        <w:rPr>
          <w:rFonts w:eastAsia="Times New Roman" w:cstheme="minorHAnsi"/>
          <w:color w:val="333333"/>
          <w:lang w:eastAsia="nb-NO"/>
        </w:rPr>
        <w:t xml:space="preserve">tions from a verifiable source; </w:t>
      </w:r>
      <w:r w:rsidRPr="00641C3B">
        <w:rPr>
          <w:rFonts w:eastAsia="Times New Roman" w:cstheme="minorHAnsi"/>
          <w:color w:val="333333"/>
          <w:lang w:eastAsia="nb-NO"/>
        </w:rPr>
        <w:t>the list of recommenders being ou</w:t>
      </w:r>
      <w:r>
        <w:rPr>
          <w:rFonts w:eastAsia="Times New Roman" w:cstheme="minorHAnsi"/>
          <w:color w:val="333333"/>
          <w:lang w:eastAsia="nb-NO"/>
        </w:rPr>
        <w:t>tlined in the application form);</w:t>
      </w:r>
    </w:p>
    <w:p w:rsidR="00641C3B" w:rsidRPr="00641C3B" w:rsidRDefault="00641C3B" w:rsidP="00641C3B">
      <w:pPr>
        <w:shd w:val="clear" w:color="auto" w:fill="FFFFFF"/>
        <w:spacing w:after="0" w:line="240" w:lineRule="auto"/>
        <w:ind w:left="720" w:hanging="360"/>
        <w:rPr>
          <w:rFonts w:eastAsia="Times New Roman" w:cstheme="minorHAnsi"/>
          <w:color w:val="212121"/>
          <w:lang w:val="en-US" w:eastAsia="nb-NO"/>
        </w:rPr>
      </w:pPr>
      <w:r w:rsidRPr="00641C3B">
        <w:rPr>
          <w:rFonts w:eastAsia="Times New Roman" w:cstheme="minorHAnsi"/>
          <w:color w:val="333333"/>
          <w:lang w:eastAsia="nb-NO"/>
        </w:rPr>
        <w:t>-</w:t>
      </w:r>
      <w:r>
        <w:rPr>
          <w:rFonts w:eastAsia="Times New Roman" w:cstheme="minorHAnsi"/>
          <w:color w:val="333333"/>
          <w:lang w:eastAsia="nb-NO"/>
        </w:rPr>
        <w:t>     </w:t>
      </w:r>
      <w:r w:rsidRPr="00641C3B">
        <w:rPr>
          <w:rFonts w:eastAsia="Times New Roman" w:cstheme="minorHAnsi"/>
          <w:color w:val="333333"/>
          <w:lang w:eastAsia="nb-NO"/>
        </w:rPr>
        <w:t>Temporary amnesty for workers and their former employers who will not be fined</w:t>
      </w:r>
      <w:r>
        <w:rPr>
          <w:rFonts w:eastAsia="Times New Roman" w:cstheme="minorHAnsi"/>
          <w:color w:val="333333"/>
          <w:lang w:eastAsia="nb-NO"/>
        </w:rPr>
        <w:t>;</w:t>
      </w:r>
    </w:p>
    <w:p w:rsidR="00641C3B" w:rsidRPr="00641C3B" w:rsidRDefault="00641C3B" w:rsidP="00641C3B">
      <w:pPr>
        <w:shd w:val="clear" w:color="auto" w:fill="FFFFFF"/>
        <w:spacing w:after="0" w:line="240" w:lineRule="auto"/>
        <w:ind w:left="720" w:hanging="360"/>
        <w:rPr>
          <w:rFonts w:eastAsia="Times New Roman" w:cstheme="minorHAnsi"/>
          <w:color w:val="333333"/>
          <w:lang w:eastAsia="nb-NO"/>
        </w:rPr>
      </w:pPr>
      <w:r w:rsidRPr="00641C3B">
        <w:rPr>
          <w:rFonts w:eastAsia="Times New Roman" w:cstheme="minorHAnsi"/>
          <w:color w:val="333333"/>
          <w:lang w:eastAsia="nb-NO"/>
        </w:rPr>
        <w:t>-</w:t>
      </w:r>
      <w:r>
        <w:rPr>
          <w:rFonts w:eastAsia="Times New Roman" w:cstheme="minorHAnsi"/>
          <w:color w:val="333333"/>
          <w:lang w:eastAsia="nb-NO"/>
        </w:rPr>
        <w:t>     </w:t>
      </w:r>
      <w:r w:rsidRPr="00641C3B">
        <w:rPr>
          <w:rFonts w:eastAsia="Times New Roman" w:cstheme="minorHAnsi"/>
          <w:color w:val="333333"/>
          <w:lang w:eastAsia="nb-NO"/>
        </w:rPr>
        <w:t>Unemployment benefits based on minimum wage for tho</w:t>
      </w:r>
      <w:r>
        <w:rPr>
          <w:rFonts w:eastAsia="Times New Roman" w:cstheme="minorHAnsi"/>
          <w:color w:val="333333"/>
          <w:lang w:eastAsia="nb-NO"/>
        </w:rPr>
        <w:t xml:space="preserve">se unemployed - former undeclared </w:t>
      </w:r>
      <w:r w:rsidRPr="00641C3B">
        <w:rPr>
          <w:rFonts w:eastAsia="Times New Roman" w:cstheme="minorHAnsi"/>
          <w:color w:val="333333"/>
          <w:lang w:eastAsia="nb-NO"/>
        </w:rPr>
        <w:t>workers</w:t>
      </w:r>
      <w:r>
        <w:rPr>
          <w:rFonts w:eastAsia="Times New Roman" w:cstheme="minorHAnsi"/>
          <w:color w:val="333333"/>
          <w:lang w:eastAsia="nb-NO"/>
        </w:rPr>
        <w:t>.</w:t>
      </w:r>
    </w:p>
    <w:p w:rsidR="00641C3B" w:rsidRPr="00641C3B" w:rsidRDefault="00641C3B" w:rsidP="008814D4">
      <w:pPr>
        <w:rPr>
          <w:lang w:val="en-US"/>
        </w:rPr>
      </w:pPr>
    </w:p>
    <w:sectPr w:rsidR="00641C3B" w:rsidRPr="00641C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4D4" w:rsidRDefault="008814D4" w:rsidP="008814D4">
      <w:pPr>
        <w:spacing w:after="0" w:line="240" w:lineRule="auto"/>
      </w:pPr>
      <w:r>
        <w:separator/>
      </w:r>
    </w:p>
  </w:endnote>
  <w:endnote w:type="continuationSeparator" w:id="0">
    <w:p w:rsidR="008814D4" w:rsidRDefault="008814D4" w:rsidP="00881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w:altName w:val="Calibri"/>
    <w:charset w:val="00"/>
    <w:family w:val="swiss"/>
    <w:pitch w:val="variable"/>
    <w:sig w:usb0="E00002FF" w:usb1="4000201F" w:usb2="0800002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4D4" w:rsidRDefault="008814D4" w:rsidP="008814D4">
      <w:pPr>
        <w:spacing w:after="0" w:line="240" w:lineRule="auto"/>
      </w:pPr>
      <w:r>
        <w:separator/>
      </w:r>
    </w:p>
  </w:footnote>
  <w:footnote w:type="continuationSeparator" w:id="0">
    <w:p w:rsidR="008814D4" w:rsidRDefault="008814D4" w:rsidP="008814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5663B"/>
    <w:multiLevelType w:val="hybridMultilevel"/>
    <w:tmpl w:val="93B297A4"/>
    <w:lvl w:ilvl="0" w:tplc="FDB81CA6">
      <w:start w:val="1"/>
      <w:numFmt w:val="upperRoman"/>
      <w:lvlText w:val="%1-"/>
      <w:lvlJc w:val="left"/>
      <w:pPr>
        <w:ind w:left="1080" w:hanging="720"/>
      </w:pPr>
      <w:rPr>
        <w:rFonts w:hint="default"/>
        <w:b/>
        <w:color w:val="1F4E79" w:themeColor="accent1" w:themeShade="8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80A3DE1"/>
    <w:multiLevelType w:val="hybridMultilevel"/>
    <w:tmpl w:val="5D02A8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AF05A0C"/>
    <w:multiLevelType w:val="hybridMultilevel"/>
    <w:tmpl w:val="9D46274E"/>
    <w:lvl w:ilvl="0" w:tplc="A86E348E">
      <w:start w:val="1"/>
      <w:numFmt w:val="lowerRoman"/>
      <w:lvlText w:val="%1)"/>
      <w:lvlJc w:val="left"/>
      <w:pPr>
        <w:ind w:left="201" w:hanging="720"/>
      </w:pPr>
    </w:lvl>
    <w:lvl w:ilvl="1" w:tplc="08090019">
      <w:start w:val="1"/>
      <w:numFmt w:val="lowerLetter"/>
      <w:lvlText w:val="%2."/>
      <w:lvlJc w:val="left"/>
      <w:pPr>
        <w:ind w:left="561" w:hanging="360"/>
      </w:pPr>
    </w:lvl>
    <w:lvl w:ilvl="2" w:tplc="0809001B">
      <w:start w:val="1"/>
      <w:numFmt w:val="lowerRoman"/>
      <w:lvlText w:val="%3."/>
      <w:lvlJc w:val="right"/>
      <w:pPr>
        <w:ind w:left="1281" w:hanging="180"/>
      </w:pPr>
    </w:lvl>
    <w:lvl w:ilvl="3" w:tplc="0809000F">
      <w:start w:val="1"/>
      <w:numFmt w:val="decimal"/>
      <w:lvlText w:val="%4."/>
      <w:lvlJc w:val="left"/>
      <w:pPr>
        <w:ind w:left="2001" w:hanging="360"/>
      </w:pPr>
    </w:lvl>
    <w:lvl w:ilvl="4" w:tplc="08090019">
      <w:start w:val="1"/>
      <w:numFmt w:val="lowerLetter"/>
      <w:lvlText w:val="%5."/>
      <w:lvlJc w:val="left"/>
      <w:pPr>
        <w:ind w:left="2721" w:hanging="360"/>
      </w:pPr>
    </w:lvl>
    <w:lvl w:ilvl="5" w:tplc="0809001B">
      <w:start w:val="1"/>
      <w:numFmt w:val="lowerRoman"/>
      <w:lvlText w:val="%6."/>
      <w:lvlJc w:val="right"/>
      <w:pPr>
        <w:ind w:left="3441" w:hanging="180"/>
      </w:pPr>
    </w:lvl>
    <w:lvl w:ilvl="6" w:tplc="0809000F">
      <w:start w:val="1"/>
      <w:numFmt w:val="decimal"/>
      <w:lvlText w:val="%7."/>
      <w:lvlJc w:val="left"/>
      <w:pPr>
        <w:ind w:left="4161" w:hanging="360"/>
      </w:pPr>
    </w:lvl>
    <w:lvl w:ilvl="7" w:tplc="08090019">
      <w:start w:val="1"/>
      <w:numFmt w:val="lowerLetter"/>
      <w:lvlText w:val="%8."/>
      <w:lvlJc w:val="left"/>
      <w:pPr>
        <w:ind w:left="4881" w:hanging="360"/>
      </w:pPr>
    </w:lvl>
    <w:lvl w:ilvl="8" w:tplc="0809001B">
      <w:start w:val="1"/>
      <w:numFmt w:val="lowerRoman"/>
      <w:lvlText w:val="%9."/>
      <w:lvlJc w:val="right"/>
      <w:pPr>
        <w:ind w:left="5601" w:hanging="180"/>
      </w:pPr>
    </w:lvl>
  </w:abstractNum>
  <w:abstractNum w:abstractNumId="3" w15:restartNumberingAfterBreak="0">
    <w:nsid w:val="4041515D"/>
    <w:multiLevelType w:val="hybridMultilevel"/>
    <w:tmpl w:val="61F0BFEE"/>
    <w:lvl w:ilvl="0" w:tplc="72C44D3C">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4877813"/>
    <w:multiLevelType w:val="hybridMultilevel"/>
    <w:tmpl w:val="A48C0C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5CC17DE"/>
    <w:multiLevelType w:val="hybridMultilevel"/>
    <w:tmpl w:val="791EF9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0DF6E78"/>
    <w:multiLevelType w:val="hybridMultilevel"/>
    <w:tmpl w:val="37E235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4150AFA"/>
    <w:multiLevelType w:val="hybridMultilevel"/>
    <w:tmpl w:val="4EC2FC6E"/>
    <w:lvl w:ilvl="0" w:tplc="337C6550">
      <w:start w:val="1"/>
      <w:numFmt w:val="upperRoman"/>
      <w:lvlText w:val="%1."/>
      <w:lvlJc w:val="left"/>
      <w:pPr>
        <w:ind w:left="1080" w:hanging="720"/>
      </w:pPr>
      <w:rPr>
        <w:rFonts w:hint="default"/>
        <w:b/>
        <w:color w:val="1F4E79" w:themeColor="accent1" w:themeShade="8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3"/>
  </w:num>
  <w:num w:numId="6">
    <w:abstractNumId w:val="1"/>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4D4"/>
    <w:rsid w:val="0001255F"/>
    <w:rsid w:val="003146D6"/>
    <w:rsid w:val="0032181F"/>
    <w:rsid w:val="00377BB7"/>
    <w:rsid w:val="00470CFE"/>
    <w:rsid w:val="00641C3B"/>
    <w:rsid w:val="006B0338"/>
    <w:rsid w:val="008814D4"/>
    <w:rsid w:val="009E6C5B"/>
    <w:rsid w:val="00C211E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5C60AB"/>
  <w15:chartTrackingRefBased/>
  <w15:docId w15:val="{7F4848CB-5FF8-4718-8036-0F589BC2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4D4"/>
    <w:pPr>
      <w:spacing w:line="256" w:lineRule="auto"/>
    </w:pPr>
    <w:rPr>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814D4"/>
    <w:pPr>
      <w:ind w:left="720"/>
      <w:contextualSpacing/>
    </w:pPr>
  </w:style>
  <w:style w:type="paragraph" w:styleId="Fotnotetekst">
    <w:name w:val="footnote text"/>
    <w:basedOn w:val="Normal"/>
    <w:link w:val="FotnotetekstTegn"/>
    <w:uiPriority w:val="99"/>
    <w:semiHidden/>
    <w:unhideWhenUsed/>
    <w:rsid w:val="008814D4"/>
    <w:pPr>
      <w:spacing w:after="0" w:line="240" w:lineRule="auto"/>
      <w:ind w:left="223" w:hanging="10"/>
    </w:pPr>
    <w:rPr>
      <w:rFonts w:ascii="Noto Sans" w:eastAsia="Noto Sans" w:hAnsi="Noto Sans" w:cs="Noto Sans"/>
      <w:color w:val="1F2153"/>
      <w:sz w:val="20"/>
      <w:szCs w:val="20"/>
      <w:lang w:eastAsia="en-GB"/>
    </w:rPr>
  </w:style>
  <w:style w:type="character" w:customStyle="1" w:styleId="FotnotetekstTegn">
    <w:name w:val="Fotnotetekst Tegn"/>
    <w:basedOn w:val="Standardskriftforavsnitt"/>
    <w:link w:val="Fotnotetekst"/>
    <w:uiPriority w:val="99"/>
    <w:semiHidden/>
    <w:rsid w:val="008814D4"/>
    <w:rPr>
      <w:rFonts w:ascii="Noto Sans" w:eastAsia="Noto Sans" w:hAnsi="Noto Sans" w:cs="Noto Sans"/>
      <w:color w:val="1F2153"/>
      <w:sz w:val="20"/>
      <w:szCs w:val="20"/>
      <w:lang w:val="en-GB" w:eastAsia="en-GB"/>
    </w:rPr>
  </w:style>
  <w:style w:type="character" w:styleId="Fotnotereferanse">
    <w:name w:val="footnote reference"/>
    <w:basedOn w:val="Standardskriftforavsnitt"/>
    <w:uiPriority w:val="99"/>
    <w:semiHidden/>
    <w:unhideWhenUsed/>
    <w:rsid w:val="008814D4"/>
    <w:rPr>
      <w:vertAlign w:val="superscript"/>
    </w:rPr>
  </w:style>
  <w:style w:type="table" w:customStyle="1" w:styleId="TableGrid1">
    <w:name w:val="Table Grid1"/>
    <w:basedOn w:val="Vanligtabell"/>
    <w:uiPriority w:val="39"/>
    <w:rsid w:val="006B0338"/>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181F"/>
    <w:pPr>
      <w:spacing w:before="100" w:beforeAutospacing="1" w:after="100" w:afterAutospacing="1" w:line="240" w:lineRule="auto"/>
    </w:pPr>
    <w:rPr>
      <w:rFonts w:ascii="Times New Roman" w:eastAsia="Times New Roman" w:hAnsi="Times New Roman" w:cs="Times New Roman"/>
      <w:sz w:val="24"/>
      <w:szCs w:val="24"/>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90221">
      <w:bodyDiv w:val="1"/>
      <w:marLeft w:val="0"/>
      <w:marRight w:val="0"/>
      <w:marTop w:val="0"/>
      <w:marBottom w:val="0"/>
      <w:divBdr>
        <w:top w:val="none" w:sz="0" w:space="0" w:color="auto"/>
        <w:left w:val="none" w:sz="0" w:space="0" w:color="auto"/>
        <w:bottom w:val="none" w:sz="0" w:space="0" w:color="auto"/>
        <w:right w:val="none" w:sz="0" w:space="0" w:color="auto"/>
      </w:divBdr>
    </w:div>
    <w:div w:id="494340353">
      <w:bodyDiv w:val="1"/>
      <w:marLeft w:val="0"/>
      <w:marRight w:val="0"/>
      <w:marTop w:val="0"/>
      <w:marBottom w:val="0"/>
      <w:divBdr>
        <w:top w:val="none" w:sz="0" w:space="0" w:color="auto"/>
        <w:left w:val="none" w:sz="0" w:space="0" w:color="auto"/>
        <w:bottom w:val="none" w:sz="0" w:space="0" w:color="auto"/>
        <w:right w:val="none" w:sz="0" w:space="0" w:color="auto"/>
      </w:divBdr>
    </w:div>
    <w:div w:id="568733887">
      <w:bodyDiv w:val="1"/>
      <w:marLeft w:val="0"/>
      <w:marRight w:val="0"/>
      <w:marTop w:val="0"/>
      <w:marBottom w:val="0"/>
      <w:divBdr>
        <w:top w:val="none" w:sz="0" w:space="0" w:color="auto"/>
        <w:left w:val="none" w:sz="0" w:space="0" w:color="auto"/>
        <w:bottom w:val="none" w:sz="0" w:space="0" w:color="auto"/>
        <w:right w:val="none" w:sz="0" w:space="0" w:color="auto"/>
      </w:divBdr>
    </w:div>
    <w:div w:id="1175653105">
      <w:bodyDiv w:val="1"/>
      <w:marLeft w:val="0"/>
      <w:marRight w:val="0"/>
      <w:marTop w:val="0"/>
      <w:marBottom w:val="0"/>
      <w:divBdr>
        <w:top w:val="none" w:sz="0" w:space="0" w:color="auto"/>
        <w:left w:val="none" w:sz="0" w:space="0" w:color="auto"/>
        <w:bottom w:val="none" w:sz="0" w:space="0" w:color="auto"/>
        <w:right w:val="none" w:sz="0" w:space="0" w:color="auto"/>
      </w:divBdr>
    </w:div>
    <w:div w:id="1295209619">
      <w:bodyDiv w:val="1"/>
      <w:marLeft w:val="0"/>
      <w:marRight w:val="0"/>
      <w:marTop w:val="0"/>
      <w:marBottom w:val="0"/>
      <w:divBdr>
        <w:top w:val="none" w:sz="0" w:space="0" w:color="auto"/>
        <w:left w:val="none" w:sz="0" w:space="0" w:color="auto"/>
        <w:bottom w:val="none" w:sz="0" w:space="0" w:color="auto"/>
        <w:right w:val="none" w:sz="0" w:space="0" w:color="auto"/>
      </w:divBdr>
    </w:div>
    <w:div w:id="21338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2017</Words>
  <Characters>10692</Characters>
  <Application>Microsoft Office Word</Application>
  <DocSecurity>0</DocSecurity>
  <Lines>89</Lines>
  <Paragraphs>25</Paragraphs>
  <ScaleCrop>false</ScaleCrop>
  <HeadingPairs>
    <vt:vector size="2" baseType="variant">
      <vt:variant>
        <vt:lpstr>Tittel</vt:lpstr>
      </vt:variant>
      <vt:variant>
        <vt:i4>1</vt:i4>
      </vt:variant>
    </vt:vector>
  </HeadingPairs>
  <TitlesOfParts>
    <vt:vector size="1" baseType="lpstr">
      <vt:lpstr/>
    </vt:vector>
  </TitlesOfParts>
  <Company>Høgskolen i Oslo og Akershus</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Nonna Martynova</dc:creator>
  <cp:keywords/>
  <dc:description/>
  <cp:lastModifiedBy>Nonna Martynova</cp:lastModifiedBy>
  <cp:revision>4</cp:revision>
  <dcterms:created xsi:type="dcterms:W3CDTF">2020-04-03T13:39:00Z</dcterms:created>
  <dcterms:modified xsi:type="dcterms:W3CDTF">2020-04-03T13:55:00Z</dcterms:modified>
</cp:coreProperties>
</file>